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00" w:before="2400"/>
        <w:jc w:val="center"/>
      </w:pPr>
      <w:r>
        <w:rPr>
          <w:b/>
          <w:bCs/>
        </w:rPr>
        <w:t xml:space="preserve">UCT Handbook Dataset</w:t>
      </w:r>
    </w:p>
    <w:p>
      <w:pPr>
        <w:spacing w:after="400"/>
        <w:jc w:val="center"/>
      </w:pPr>
      <w:r>
        <w:rPr>
          <w:sz w:val="36"/>
          <w:szCs w:val="36"/>
        </w:rPr>
        <w:t xml:space="preserve">User Manual</w:t>
      </w:r>
    </w:p>
    <w:p>
      <w:pPr>
        <w:spacing w:after="120"/>
        <w:jc w:val="center"/>
      </w:pPr>
      <w:r>
        <w:rPr>
          <w:i/>
          <w:iCs/>
        </w:rPr>
        <w:t xml:space="preserve">For reviewers, deans, and faculty planning teams.</w:t>
      </w:r>
    </w:p>
    <w:p>
      <w:pPr>
        <w:spacing w:after="120"/>
        <w:jc w:val="center"/>
      </w:pPr>
      <w:r>
        <w:rPr>
          <w:i/>
          <w:iCs/>
        </w:rPr>
        <w:t xml:space="preserve">Dataset version: all six faculties (Commerce, EBE, Law, Health Sciences, Science, Humanities) + Fees, 2021–2026 editions (August 2026).</w:t>
      </w:r>
    </w:p>
    <w:p>
      <w:pPr>
        <w:spacing w:after="600"/>
      </w:pPr>
    </w:p>
    <w:p>
      <w:pPr>
        <w:spacing w:after="200"/>
      </w:pPr>
      <w:r>
        <w:rPr>
          <w:b/>
          <w:bCs/>
          <w:sz w:val="28"/>
          <w:szCs w:val="28"/>
        </w:rPr>
        <w:t xml:space="preserve">Contents</w:t>
      </w:r>
    </w:p>
    <w:sdt>
      <w:sdtPr>
        <w:alias w:val="Contents"/>
      </w:sdtPr>
      <w:sdtContent>
        <w:p>
          <w:r>
            <w:fldChar w:fldCharType="begin" w:dirty="true"/>
            <w:instrText xml:space="preserve">TOC \h \o "1-2"</w:instrText>
            <w:fldChar w:fldCharType="separate"/>
          </w:r>
        </w:p>
        <w:p>
          <w:r>
            <w:fldChar w:fldCharType="end"/>
          </w:r>
        </w:p>
      </w:sdtContent>
    </w:sdt>
    <w:p>
      <w:pPr>
        <w:pStyle w:val="Heading1"/>
        <w:spacing w:after="160" w:before="360"/>
      </w:pPr>
      <w:r>
        <w:t xml:space="preserve">1. Purpose</w:t>
      </w:r>
    </w:p>
    <w:p>
      <w:pPr>
        <w:spacing w:after="120"/>
        <w:jc w:val="both"/>
      </w:pPr>
      <w:r>
        <w:t xml:space="preserve">The University has been re-thinking curriculum credit loads, and some changes are already in effect. To evaluate those changes, we need to answer, per degree programme, three questions:</w:t>
      </w:r>
    </w:p>
    <w:p>
      <w:pPr>
        <w:pStyle w:val="ListParagraph"/>
        <w:numPr>
          <w:ilvl w:val="0"/>
          <w:numId w:val="2"/>
        </w:numPr>
        <w:spacing w:after="80"/>
      </w:pPr>
      <w:r>
        <w:rPr>
          <w:b/>
          <w:bCs/>
        </w:rPr>
        <w:t xml:space="preserve">How many credits does a student actually carry each year of study, and how has that changed across handbook editions?</w:t>
      </w:r>
    </w:p>
    <w:p>
      <w:pPr>
        <w:pStyle w:val="ListParagraph"/>
        <w:numPr>
          <w:ilvl w:val="0"/>
          <w:numId w:val="2"/>
        </w:numPr>
        <w:spacing w:after="80"/>
      </w:pPr>
      <w:r>
        <w:rPr>
          <w:b/>
          <w:bCs/>
        </w:rPr>
        <w:t xml:space="preserve">What does that credit load cost, and how has the cost moved with it?</w:t>
      </w:r>
    </w:p>
    <w:p>
      <w:pPr>
        <w:pStyle w:val="ListParagraph"/>
        <w:numPr>
          <w:ilvl w:val="0"/>
          <w:numId w:val="2"/>
        </w:numPr>
        <w:spacing w:after="80"/>
      </w:pPr>
      <w:r>
        <w:rPr>
          <w:b/>
          <w:bCs/>
        </w:rPr>
        <w:t xml:space="preserve">What do the faculty rules say the whole degree must total — and when did that requirement change?</w:t>
      </w:r>
      <w:r>
        <w:t xml:space="preserve"> The rules sections print each degree's minimum credits, and the re-think is written into them directly: the BBusSc minimum fell from 623 to 528 credits at the 2025 edition (its Actuarial Science stream from 681 to 528), the engineering faculty's 4-year minimum from 576 to 560 at 2026, and the undergraduate LLB's stream total from 660 to 637 at 2026.</w:t>
      </w:r>
    </w:p>
    <w:p>
      <w:pPr>
        <w:spacing w:after="40"/>
      </w:pPr>
    </w:p>
    <w:p>
      <w:pPr>
        <w:spacing w:after="120"/>
        <w:jc w:val="both"/>
      </w:pPr>
      <w:r>
        <w:t xml:space="preserve">The published handbooks contain the answers, but as narrative PDF documents. This project converts them into a single analysable dataset in which every number can be traced back to the page of the handbook it came from.</w:t>
      </w:r>
    </w:p>
    <w:p>
      <w:pPr>
        <w:pStyle w:val="Heading1"/>
        <w:spacing w:after="160" w:before="360"/>
      </w:pPr>
      <w:r>
        <w:t xml:space="preserve">2. What is covered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61"/>
        <w:gridCol w:w="759"/>
        <w:gridCol w:w="3206"/>
      </w:tblGrid>
      <w:tr>
        <w:trPr>
          <w:tblHeader/>
        </w:trPr>
        <w:tc>
          <w:tcPr>
            <w:tcW w:type="dxa" w:w="5061"/>
            <w:shd w:fill="DEEAF6" w:val="clear"/>
            <w:tcMar>
              <w:top w:type="dxa" w:w="60"/>
              <w:left w:type="dxa" w:w="100"/>
              <w:bottom w:type="dxa" w:w="60"/>
              <w:right w:type="dxa" w:w="100"/>
            </w:tcMar>
          </w:tcPr>
          <w:p>
            <w:pPr>
              <w:spacing w:after="0"/>
            </w:pPr>
            <w:r>
              <w:rPr>
                <w:b/>
                <w:bCs/>
              </w:rPr>
              <w:t xml:space="preserve">Content</w:t>
            </w:r>
          </w:p>
        </w:tc>
        <w:tc>
          <w:tcPr>
            <w:tcW w:type="dxa" w:w="759"/>
            <w:shd w:fill="DEEAF6" w:val="clear"/>
            <w:tcMar>
              <w:top w:type="dxa" w:w="60"/>
              <w:left w:type="dxa" w:w="100"/>
              <w:bottom w:type="dxa" w:w="60"/>
              <w:right w:type="dxa" w:w="100"/>
            </w:tcMar>
          </w:tcPr>
          <w:p>
            <w:pPr>
              <w:spacing w:after="0"/>
            </w:pPr>
            <w:r>
              <w:rPr>
                <w:b/>
                <w:bCs/>
              </w:rPr>
              <w:t xml:space="preserve">Editions</w:t>
            </w:r>
          </w:p>
        </w:tc>
        <w:tc>
          <w:tcPr>
            <w:tcW w:type="dxa" w:w="3206"/>
            <w:shd w:fill="DEEAF6" w:val="clear"/>
            <w:tcMar>
              <w:top w:type="dxa" w:w="60"/>
              <w:left w:type="dxa" w:w="100"/>
              <w:bottom w:type="dxa" w:w="60"/>
              <w:right w:type="dxa" w:w="100"/>
            </w:tcMar>
          </w:tcPr>
          <w:p>
            <w:pPr>
              <w:spacing w:after="0"/>
            </w:pPr>
            <w:r>
              <w:rPr>
                <w:b/>
                <w:bCs/>
              </w:rPr>
              <w:t xml:space="preserve">Status</w:t>
            </w:r>
          </w:p>
        </w:tc>
      </w:tr>
      <w:tr>
        <w:trPr>
          <w:tblHeader w:val="false"/>
        </w:trPr>
        <w:tc>
          <w:tcPr>
            <w:tcW w:type="dxa" w:w="5061"/>
            <w:tcMar>
              <w:top w:type="dxa" w:w="60"/>
              <w:left w:type="dxa" w:w="100"/>
              <w:bottom w:type="dxa" w:w="60"/>
              <w:right w:type="dxa" w:w="100"/>
            </w:tcMar>
          </w:tcPr>
          <w:p>
            <w:pPr>
              <w:spacing w:after="0"/>
            </w:pPr>
            <w:r>
              <w:t xml:space="preserve">Faculty of Commerce undergraduate handbook</w:t>
            </w:r>
          </w:p>
        </w:tc>
        <w:tc>
          <w:tcPr>
            <w:tcW w:type="dxa" w:w="759"/>
            <w:tcMar>
              <w:top w:type="dxa" w:w="60"/>
              <w:left w:type="dxa" w:w="100"/>
              <w:bottom w:type="dxa" w:w="60"/>
              <w:right w:type="dxa" w:w="100"/>
            </w:tcMar>
          </w:tcPr>
          <w:p>
            <w:pPr>
              <w:spacing w:after="0"/>
            </w:pPr>
            <w:r>
              <w:t xml:space="preserve">2021–2026</w:t>
            </w:r>
          </w:p>
        </w:tc>
        <w:tc>
          <w:tcPr>
            <w:tcW w:type="dxa" w:w="3206"/>
            <w:tcMar>
              <w:top w:type="dxa" w:w="60"/>
              <w:left w:type="dxa" w:w="100"/>
              <w:bottom w:type="dxa" w:w="60"/>
              <w:right w:type="dxa" w:w="100"/>
            </w:tcMar>
          </w:tcPr>
          <w:p>
            <w:pPr>
              <w:spacing w:after="0"/>
            </w:pPr>
            <w:r>
              <w:t xml:space="preserve">complete</w:t>
            </w:r>
          </w:p>
        </w:tc>
      </w:tr>
      <w:tr>
        <w:trPr>
          <w:tblHeader w:val="false"/>
        </w:trPr>
        <w:tc>
          <w:tcPr>
            <w:tcW w:type="dxa" w:w="5061"/>
            <w:tcMar>
              <w:top w:type="dxa" w:w="60"/>
              <w:left w:type="dxa" w:w="100"/>
              <w:bottom w:type="dxa" w:w="60"/>
              <w:right w:type="dxa" w:w="100"/>
            </w:tcMar>
          </w:tcPr>
          <w:p>
            <w:pPr>
              <w:spacing w:after="0"/>
            </w:pPr>
            <w:r>
              <w:t xml:space="preserve">Engineering &amp; the Built Environment undergraduate handbook</w:t>
            </w:r>
          </w:p>
        </w:tc>
        <w:tc>
          <w:tcPr>
            <w:tcW w:type="dxa" w:w="759"/>
            <w:tcMar>
              <w:top w:type="dxa" w:w="60"/>
              <w:left w:type="dxa" w:w="100"/>
              <w:bottom w:type="dxa" w:w="60"/>
              <w:right w:type="dxa" w:w="100"/>
            </w:tcMar>
          </w:tcPr>
          <w:p>
            <w:pPr>
              <w:spacing w:after="0"/>
            </w:pPr>
            <w:r>
              <w:t xml:space="preserve">2021–2026</w:t>
            </w:r>
          </w:p>
        </w:tc>
        <w:tc>
          <w:tcPr>
            <w:tcW w:type="dxa" w:w="3206"/>
            <w:tcMar>
              <w:top w:type="dxa" w:w="60"/>
              <w:left w:type="dxa" w:w="100"/>
              <w:bottom w:type="dxa" w:w="60"/>
              <w:right w:type="dxa" w:w="100"/>
            </w:tcMar>
          </w:tcPr>
          <w:p>
            <w:pPr>
              <w:spacing w:after="0"/>
            </w:pPr>
            <w:r>
              <w:t xml:space="preserve">complete (adjudication review pending)</w:t>
            </w:r>
          </w:p>
        </w:tc>
      </w:tr>
      <w:tr>
        <w:trPr>
          <w:tblHeader w:val="false"/>
        </w:trPr>
        <w:tc>
          <w:tcPr>
            <w:tcW w:type="dxa" w:w="5061"/>
            <w:tcMar>
              <w:top w:type="dxa" w:w="60"/>
              <w:left w:type="dxa" w:w="100"/>
              <w:bottom w:type="dxa" w:w="60"/>
              <w:right w:type="dxa" w:w="100"/>
            </w:tcMar>
          </w:tcPr>
          <w:p>
            <w:pPr>
              <w:spacing w:after="0"/>
            </w:pPr>
            <w:r>
              <w:t xml:space="preserve">Faculty of Law undergraduate handbook (LLB streams)</w:t>
            </w:r>
          </w:p>
        </w:tc>
        <w:tc>
          <w:tcPr>
            <w:tcW w:type="dxa" w:w="759"/>
            <w:tcMar>
              <w:top w:type="dxa" w:w="60"/>
              <w:left w:type="dxa" w:w="100"/>
              <w:bottom w:type="dxa" w:w="60"/>
              <w:right w:type="dxa" w:w="100"/>
            </w:tcMar>
          </w:tcPr>
          <w:p>
            <w:pPr>
              <w:spacing w:after="0"/>
            </w:pPr>
            <w:r>
              <w:t xml:space="preserve">2021–2026</w:t>
            </w:r>
          </w:p>
        </w:tc>
        <w:tc>
          <w:tcPr>
            <w:tcW w:type="dxa" w:w="3206"/>
            <w:tcMar>
              <w:top w:type="dxa" w:w="60"/>
              <w:left w:type="dxa" w:w="100"/>
              <w:bottom w:type="dxa" w:w="60"/>
              <w:right w:type="dxa" w:w="100"/>
            </w:tcMar>
          </w:tcPr>
          <w:p>
            <w:pPr>
              <w:spacing w:after="0"/>
            </w:pPr>
            <w:r>
              <w:t xml:space="preserve">complete</w:t>
            </w:r>
          </w:p>
        </w:tc>
      </w:tr>
      <w:tr>
        <w:trPr>
          <w:tblHeader w:val="false"/>
        </w:trPr>
        <w:tc>
          <w:tcPr>
            <w:tcW w:type="dxa" w:w="5061"/>
            <w:tcMar>
              <w:top w:type="dxa" w:w="60"/>
              <w:left w:type="dxa" w:w="100"/>
              <w:bottom w:type="dxa" w:w="60"/>
              <w:right w:type="dxa" w:w="100"/>
            </w:tcMar>
          </w:tcPr>
          <w:p>
            <w:pPr>
              <w:spacing w:after="0"/>
            </w:pPr>
            <w:r>
              <w:t xml:space="preserve">Faculty of Health Sciences undergraduate handbook</w:t>
            </w:r>
          </w:p>
        </w:tc>
        <w:tc>
          <w:tcPr>
            <w:tcW w:type="dxa" w:w="759"/>
            <w:tcMar>
              <w:top w:type="dxa" w:w="60"/>
              <w:left w:type="dxa" w:w="100"/>
              <w:bottom w:type="dxa" w:w="60"/>
              <w:right w:type="dxa" w:w="100"/>
            </w:tcMar>
          </w:tcPr>
          <w:p>
            <w:pPr>
              <w:spacing w:after="0"/>
            </w:pPr>
            <w:r>
              <w:t xml:space="preserve">2021–2026</w:t>
            </w:r>
          </w:p>
        </w:tc>
        <w:tc>
          <w:tcPr>
            <w:tcW w:type="dxa" w:w="3206"/>
            <w:tcMar>
              <w:top w:type="dxa" w:w="60"/>
              <w:left w:type="dxa" w:w="100"/>
              <w:bottom w:type="dxa" w:w="60"/>
              <w:right w:type="dxa" w:w="100"/>
            </w:tcMar>
          </w:tcPr>
          <w:p>
            <w:pPr>
              <w:spacing w:after="0"/>
            </w:pPr>
            <w:r>
              <w:t xml:space="preserve">complete (adjudication review pending)</w:t>
            </w:r>
          </w:p>
        </w:tc>
      </w:tr>
      <w:tr>
        <w:trPr>
          <w:tblHeader w:val="false"/>
        </w:trPr>
        <w:tc>
          <w:tcPr>
            <w:tcW w:type="dxa" w:w="5061"/>
            <w:tcMar>
              <w:top w:type="dxa" w:w="60"/>
              <w:left w:type="dxa" w:w="100"/>
              <w:bottom w:type="dxa" w:w="60"/>
              <w:right w:type="dxa" w:w="100"/>
            </w:tcMar>
          </w:tcPr>
          <w:p>
            <w:pPr>
              <w:spacing w:after="0"/>
            </w:pPr>
            <w:r>
              <w:t xml:space="preserve">Faculty of Science undergraduate handbook (majors)</w:t>
            </w:r>
          </w:p>
        </w:tc>
        <w:tc>
          <w:tcPr>
            <w:tcW w:type="dxa" w:w="759"/>
            <w:tcMar>
              <w:top w:type="dxa" w:w="60"/>
              <w:left w:type="dxa" w:w="100"/>
              <w:bottom w:type="dxa" w:w="60"/>
              <w:right w:type="dxa" w:w="100"/>
            </w:tcMar>
          </w:tcPr>
          <w:p>
            <w:pPr>
              <w:spacing w:after="0"/>
            </w:pPr>
            <w:r>
              <w:t xml:space="preserve">2021–2026</w:t>
            </w:r>
          </w:p>
        </w:tc>
        <w:tc>
          <w:tcPr>
            <w:tcW w:type="dxa" w:w="3206"/>
            <w:tcMar>
              <w:top w:type="dxa" w:w="60"/>
              <w:left w:type="dxa" w:w="100"/>
              <w:bottom w:type="dxa" w:w="60"/>
              <w:right w:type="dxa" w:w="100"/>
            </w:tcMar>
          </w:tcPr>
          <w:p>
            <w:pPr>
              <w:spacing w:after="0"/>
            </w:pPr>
            <w:r>
              <w:t xml:space="preserve">complete</w:t>
            </w:r>
          </w:p>
        </w:tc>
      </w:tr>
      <w:tr>
        <w:trPr>
          <w:tblHeader w:val="false"/>
        </w:trPr>
        <w:tc>
          <w:tcPr>
            <w:tcW w:type="dxa" w:w="5061"/>
            <w:tcMar>
              <w:top w:type="dxa" w:w="60"/>
              <w:left w:type="dxa" w:w="100"/>
              <w:bottom w:type="dxa" w:w="60"/>
              <w:right w:type="dxa" w:w="100"/>
            </w:tcMar>
          </w:tcPr>
          <w:p>
            <w:pPr>
              <w:spacing w:after="0"/>
            </w:pPr>
            <w:r>
              <w:t xml:space="preserve">Faculty of Humanities undergraduate handbook (majors)</w:t>
            </w:r>
          </w:p>
        </w:tc>
        <w:tc>
          <w:tcPr>
            <w:tcW w:type="dxa" w:w="759"/>
            <w:tcMar>
              <w:top w:type="dxa" w:w="60"/>
              <w:left w:type="dxa" w:w="100"/>
              <w:bottom w:type="dxa" w:w="60"/>
              <w:right w:type="dxa" w:w="100"/>
            </w:tcMar>
          </w:tcPr>
          <w:p>
            <w:pPr>
              <w:spacing w:after="0"/>
            </w:pPr>
            <w:r>
              <w:t xml:space="preserve">2021–2026</w:t>
            </w:r>
          </w:p>
        </w:tc>
        <w:tc>
          <w:tcPr>
            <w:tcW w:type="dxa" w:w="3206"/>
            <w:tcMar>
              <w:top w:type="dxa" w:w="60"/>
              <w:left w:type="dxa" w:w="100"/>
              <w:bottom w:type="dxa" w:w="60"/>
              <w:right w:type="dxa" w:w="100"/>
            </w:tcMar>
          </w:tcPr>
          <w:p>
            <w:pPr>
              <w:spacing w:after="0"/>
            </w:pPr>
            <w:r>
              <w:t xml:space="preserve">complete</w:t>
            </w:r>
          </w:p>
        </w:tc>
      </w:tr>
      <w:tr>
        <w:trPr>
          <w:tblHeader w:val="false"/>
        </w:trPr>
        <w:tc>
          <w:tcPr>
            <w:tcW w:type="dxa" w:w="5061"/>
            <w:tcMar>
              <w:top w:type="dxa" w:w="60"/>
              <w:left w:type="dxa" w:w="100"/>
              <w:bottom w:type="dxa" w:w="60"/>
              <w:right w:type="dxa" w:w="100"/>
            </w:tcMar>
          </w:tcPr>
          <w:p>
            <w:pPr>
              <w:spacing w:after="0"/>
            </w:pPr>
            <w:r>
              <w:t xml:space="preserve">Student Fees handbook (course fees + published programme fees)</w:t>
            </w:r>
          </w:p>
        </w:tc>
        <w:tc>
          <w:tcPr>
            <w:tcW w:type="dxa" w:w="759"/>
            <w:tcMar>
              <w:top w:type="dxa" w:w="60"/>
              <w:left w:type="dxa" w:w="100"/>
              <w:bottom w:type="dxa" w:w="60"/>
              <w:right w:type="dxa" w:w="100"/>
            </w:tcMar>
          </w:tcPr>
          <w:p>
            <w:pPr>
              <w:spacing w:after="0"/>
            </w:pPr>
            <w:r>
              <w:t xml:space="preserve">2021–2026</w:t>
            </w:r>
          </w:p>
        </w:tc>
        <w:tc>
          <w:tcPr>
            <w:tcW w:type="dxa" w:w="3206"/>
            <w:tcMar>
              <w:top w:type="dxa" w:w="60"/>
              <w:left w:type="dxa" w:w="100"/>
              <w:bottom w:type="dxa" w:w="60"/>
              <w:right w:type="dxa" w:w="100"/>
            </w:tcMar>
          </w:tcPr>
          <w:p>
            <w:pPr>
              <w:spacing w:after="0"/>
            </w:pPr>
            <w:r>
              <w:t xml:space="preserve">complete</w:t>
            </w:r>
          </w:p>
        </w:tc>
      </w:tr>
    </w:tbl>
    <w:p>
      <w:pPr>
        <w:spacing w:after="120"/>
      </w:pPr>
    </w:p>
    <w:p>
      <w:pPr>
        <w:spacing w:after="120"/>
        <w:jc w:val="both"/>
      </w:pPr>
      <w:r>
        <w:t xml:space="preserve">The 2025 edition is treated as the </w:t>
      </w:r>
      <w:r>
        <w:rPr>
          <w:b/>
          <w:bCs/>
        </w:rPr>
        <w:t xml:space="preserve">baseline</w:t>
      </w:r>
      <w:r>
        <w:t xml:space="preserve"> — the recorded state of the curriculum against which the credit re-think editions are compared (note that the rules layer shows some re-think changes landing </w:t>
      </w:r>
      <w:r>
        <w:rPr>
          <w:i/>
          <w:iCs/>
        </w:rPr>
        <w:t xml:space="preserve">at</w:t>
      </w:r>
      <w:r>
        <w:t xml:space="preserve"> or </w:t>
      </w:r>
      <w:r>
        <w:rPr>
          <w:i/>
          <w:iCs/>
        </w:rPr>
        <w:t xml:space="preserve">before</w:t>
      </w:r>
      <w:r>
        <w:t xml:space="preserve"> that baseline: the BBusSc minimum-credit cut arrives in the 2025 edition itself, the BCom's 450→440 as early as 2022 — the </w:t>
      </w:r>
      <w:r>
        <w:rPr>
          <w:rFonts w:ascii="Consolas" w:cs="Consolas" w:eastAsia="Consolas" w:hAnsi="Consolas"/>
          <w:sz w:val="18"/>
          <w:szCs w:val="18"/>
        </w:rPr>
        <w:t xml:space="preserve">degree_rules</w:t>
      </w:r>
      <w:r>
        <w:t xml:space="preserve"> table dates each change per degree). Across the six editions the dataset holds </w:t>
      </w:r>
      <w:r>
        <w:rPr>
          <w:b/>
          <w:bCs/>
        </w:rPr>
        <w:t xml:space="preserve">23,592 curriculum records</w:t>
      </w:r>
      <w:r>
        <w:t xml:space="preserve"> spanning all six faculties: 71–75 Commerce specialisations per year (including the Academic Development augmented and extended variants and the Advanced Diplomas), ~26 EBE specialisations per year (including the 5-year Extended Curriculum Programmes), the three LLB streams (graduate, four-year undergraduate, and the legacy five-year stream), the Health Sciences professional degrees (MBChB and the four-year AHS programmes with their intervention-programme variants), ~22 Science majors, and ~40 Humanities majors serving both the BA and the BSocSc. In EBE, elective loads are printed as ranges ("0–48 credits"); the ideal student takes the minimum, and both ends of the range are retained. Law publishes one flat annual fee per stream rather than per-year figures, and Science/Humanities one per-year fee per degree covering every major; the dataset applies these to the relevant years and labels the match accordingly (§8, caveat 8).</w:t>
      </w:r>
    </w:p>
    <w:p>
      <w:pPr>
        <w:spacing w:after="120"/>
        <w:jc w:val="both"/>
      </w:pPr>
      <w:r>
        <w:t xml:space="preserve">The dataset now comes in </w:t>
      </w:r>
      <w:r>
        <w:rPr>
          <w:b/>
          <w:bCs/>
        </w:rPr>
        <w:t xml:space="preserve">two layers</w:t>
      </w:r>
      <w:r>
        <w:t xml:space="preserve">:</w:t>
      </w:r>
    </w:p>
    <w:p>
      <w:pPr>
        <w:pStyle w:val="ListParagraph"/>
        <w:numPr>
          <w:ilvl w:val="0"/>
          <w:numId w:val="3"/>
        </w:numPr>
        <w:spacing w:after="80"/>
      </w:pPr>
      <w:r>
        <w:t xml:space="preserve">the </w:t>
      </w:r>
      <w:r>
        <w:rPr>
          <w:b/>
          <w:bCs/>
        </w:rPr>
        <w:t xml:space="preserve">as-printed layer</w:t>
      </w:r>
      <w:r>
        <w:t xml:space="preserve"> — exactly what the handbooks print, including their own defects, preserved for audit;</w:t>
      </w:r>
    </w:p>
    <w:p>
      <w:pPr>
        <w:pStyle w:val="ListParagraph"/>
        <w:numPr>
          <w:ilvl w:val="0"/>
          <w:numId w:val="3"/>
        </w:numPr>
        <w:spacing w:after="80"/>
      </w:pPr>
      <w:r>
        <w:t xml:space="preserve">the </w:t>
      </w:r>
      <w:r>
        <w:rPr>
          <w:b/>
          <w:bCs/>
        </w:rPr>
        <w:t xml:space="preserve">final-clean layer</w:t>
      </w:r>
      <w:r>
        <w:t xml:space="preserve"> (</w:t>
      </w:r>
      <w:r>
        <w:rPr>
          <w:rFonts w:ascii="Consolas" w:cs="Consolas" w:eastAsia="Consolas" w:hAnsi="Consolas"/>
          <w:sz w:val="18"/>
          <w:szCs w:val="18"/>
        </w:rPr>
        <w:t xml:space="preserve">main_dataset_final.csv</w:t>
      </w:r>
      <w:r>
        <w:t xml:space="preserve">, </w:t>
      </w:r>
      <w:r>
        <w:rPr>
          <w:rFonts w:ascii="Consolas" w:cs="Consolas" w:eastAsia="Consolas" w:hAnsi="Consolas"/>
          <w:sz w:val="18"/>
          <w:szCs w:val="18"/>
        </w:rPr>
        <w:t xml:space="preserve">ideal_student_summary_final.csv</w:t>
      </w:r>
      <w:r>
        <w:t xml:space="preserve">) — the same data with those defects resolved by documented, justified rules and case-by-case adjudications.</w:t>
      </w:r>
    </w:p>
    <w:p>
      <w:pPr>
        <w:spacing w:after="40"/>
      </w:pPr>
    </w:p>
    <w:p>
      <w:pPr>
        <w:spacing w:after="120"/>
        <w:jc w:val="both"/>
      </w:pPr>
      <w:r>
        <w:rPr>
          <w:b/>
          <w:bCs/>
        </w:rPr>
        <w:t xml:space="preserve">Analysts should use the final-clean tables; auditors and replicators the as-printed ones.</w:t>
      </w:r>
      <w:r>
        <w:t xml:space="preserve"> Section 6 describes both.</w:t>
      </w:r>
    </w:p>
    <w:p>
      <w:pPr>
        <w:pStyle w:val="Heading1"/>
        <w:spacing w:after="160" w:before="360"/>
      </w:pPr>
      <w:r>
        <w:t xml:space="preserve">3. How the dataset was produced — and why it can be trusted</w:t>
      </w:r>
    </w:p>
    <w:p>
      <w:pPr>
        <w:spacing w:after="120"/>
        <w:jc w:val="both"/>
      </w:pPr>
      <w:r>
        <w:t xml:space="preserve">The conversion is fully programmatic. The same software reads each PDF, recognises the handbook's structures (programme headings, curriculum tables, course descriptions, fee tables), and writes the output tables. Four integrity rules apply throughout:</w:t>
      </w:r>
    </w:p>
    <w:p>
      <w:pPr>
        <w:pStyle w:val="ListParagraph"/>
        <w:numPr>
          <w:ilvl w:val="0"/>
          <w:numId w:val="2"/>
        </w:numPr>
        <w:spacing w:after="80"/>
      </w:pPr>
      <w:r>
        <w:rPr>
          <w:b/>
          <w:bCs/>
        </w:rPr>
        <w:t xml:space="preserve">Source PDFs are never edited.</w:t>
      </w:r>
      <w:r>
        <w:t xml:space="preserve"> They are stored read-only in the repository, and every published edition is kept.</w:t>
      </w:r>
    </w:p>
    <w:p>
      <w:pPr>
        <w:pStyle w:val="ListParagraph"/>
        <w:numPr>
          <w:ilvl w:val="0"/>
          <w:numId w:val="2"/>
        </w:numPr>
        <w:spacing w:after="80"/>
      </w:pPr>
      <w:r>
        <w:rPr>
          <w:b/>
          <w:bCs/>
        </w:rPr>
        <w:t xml:space="preserve">Every record carries provenance.</w:t>
      </w:r>
      <w:r>
        <w:t xml:space="preserve"> Each row records the handbook year and the PDF page it came from, so any value can be checked against the original in seconds.</w:t>
      </w:r>
    </w:p>
    <w:p>
      <w:pPr>
        <w:pStyle w:val="ListParagraph"/>
        <w:numPr>
          <w:ilvl w:val="0"/>
          <w:numId w:val="2"/>
        </w:numPr>
        <w:spacing w:after="80"/>
      </w:pPr>
      <w:r>
        <w:rPr>
          <w:b/>
          <w:bCs/>
        </w:rPr>
        <w:t xml:space="preserve">No manual edits to outputs.</w:t>
      </w:r>
      <w:r>
        <w:t xml:space="preserve"> If the software misreads something, the software is fixed and re-run. Where the </w:t>
      </w:r>
      <w:r>
        <w:rPr>
          <w:i/>
          <w:iCs/>
        </w:rPr>
        <w:t xml:space="preserve">handbook itself</w:t>
      </w:r>
      <w:r>
        <w:t xml:space="preserve"> contains a defect (a misprinted total, a missing rule), the correction is recorded in a documented "overrides" file stating the reason and the source page — or the defect is left in place and flagged, never silently changed.</w:t>
      </w:r>
    </w:p>
    <w:p>
      <w:pPr>
        <w:pStyle w:val="ListParagraph"/>
        <w:numPr>
          <w:ilvl w:val="0"/>
          <w:numId w:val="2"/>
        </w:numPr>
        <w:spacing w:after="80"/>
      </w:pPr>
      <w:r>
        <w:rPr>
          <w:b/>
          <w:bCs/>
        </w:rPr>
        <w:t xml:space="preserve">Everything is version-controlled.</w:t>
      </w:r>
      <w:r>
        <w:t xml:space="preserve"> The full history of the dataset and the software that built it is kept in git; re-running any year reproduces the same output, and re-processing one year cannot alter another year's records.</w:t>
      </w:r>
    </w:p>
    <w:p>
      <w:pPr>
        <w:spacing w:after="40"/>
      </w:pPr>
    </w:p>
    <w:p>
      <w:pPr>
        <w:pStyle w:val="Heading1"/>
        <w:spacing w:after="160" w:before="360"/>
      </w:pPr>
      <w:r>
        <w:t xml:space="preserve">4. Key concepts</w:t>
      </w:r>
    </w:p>
    <w:p>
      <w:pPr>
        <w:spacing w:after="120"/>
        <w:jc w:val="both"/>
      </w:pPr>
      <w:r>
        <w:rPr>
          <w:b/>
          <w:bCs/>
        </w:rPr>
        <w:t xml:space="preserve">Specialisation code (plan code).</w:t>
      </w:r>
      <w:r>
        <w:t xml:space="preserve"> The fundamental unit of the dataset, e.g. </w:t>
      </w:r>
      <w:r>
        <w:rPr>
          <w:rFonts w:ascii="Consolas" w:cs="Consolas" w:eastAsia="Consolas" w:hAnsi="Consolas"/>
          <w:sz w:val="18"/>
          <w:szCs w:val="18"/>
        </w:rPr>
        <w:t xml:space="preserve">CB004FTX04</w:t>
      </w:r>
      <w:r>
        <w:t xml:space="preserve"> — Bachelor of Business Science specialising in Finance with Accounting. The first five characters identify the programme family (</w:t>
      </w:r>
      <w:r>
        <w:rPr>
          <w:rFonts w:ascii="Consolas" w:cs="Consolas" w:eastAsia="Consolas" w:hAnsi="Consolas"/>
          <w:sz w:val="18"/>
          <w:szCs w:val="18"/>
        </w:rPr>
        <w:t xml:space="preserve">CB004</w:t>
      </w:r>
      <w:r>
        <w:t xml:space="preserve">), the last five the department/stream (</w:t>
      </w:r>
      <w:r>
        <w:rPr>
          <w:rFonts w:ascii="Consolas" w:cs="Consolas" w:eastAsia="Consolas" w:hAnsi="Consolas"/>
          <w:sz w:val="18"/>
          <w:szCs w:val="18"/>
        </w:rPr>
        <w:t xml:space="preserve">FTX04</w:t>
      </w:r>
      <w:r>
        <w:t xml:space="preserve">). Commerce publishes each specialisation in up to three </w:t>
      </w:r>
      <w:r>
        <w:rPr>
          <w:b/>
          <w:bCs/>
        </w:rPr>
        <w:t xml:space="preserve">variants</w:t>
      </w:r>
      <w:r>
        <w:t xml:space="preserve">:</w:t>
      </w:r>
    </w:p>
    <w:p>
      <w:pPr>
        <w:pStyle w:val="ListParagraph"/>
        <w:numPr>
          <w:ilvl w:val="0"/>
          <w:numId w:val="3"/>
        </w:numPr>
        <w:spacing w:after="80"/>
      </w:pPr>
      <w:r>
        <w:rPr>
          <w:i/>
          <w:iCs/>
        </w:rPr>
        <w:t xml:space="preserve">regular</w:t>
      </w:r>
      <w:r>
        <w:t xml:space="preserve"> — the standard curriculum;</w:t>
      </w:r>
    </w:p>
    <w:p>
      <w:pPr>
        <w:pStyle w:val="ListParagraph"/>
        <w:numPr>
          <w:ilvl w:val="0"/>
          <w:numId w:val="3"/>
        </w:numPr>
        <w:spacing w:after="80"/>
      </w:pPr>
      <w:r>
        <w:rPr>
          <w:i/>
          <w:iCs/>
        </w:rPr>
        <w:t xml:space="preserve">augmented</w:t>
      </w:r>
      <w:r>
        <w:t xml:space="preserve"> — Academic Development, same duration with additional support courses;</w:t>
      </w:r>
    </w:p>
    <w:p>
      <w:pPr>
        <w:pStyle w:val="ListParagraph"/>
        <w:numPr>
          <w:ilvl w:val="0"/>
          <w:numId w:val="3"/>
        </w:numPr>
        <w:spacing w:after="80"/>
      </w:pPr>
      <w:r>
        <w:rPr>
          <w:i/>
          <w:iCs/>
        </w:rPr>
        <w:t xml:space="preserve">extended</w:t>
      </w:r>
      <w:r>
        <w:t xml:space="preserve"> — Academic Development, the curriculum spread over an extra year.</w:t>
      </w:r>
    </w:p>
    <w:p>
      <w:pPr>
        <w:spacing w:after="40"/>
      </w:pPr>
    </w:p>
    <w:p>
      <w:pPr>
        <w:spacing w:after="120"/>
        <w:jc w:val="both"/>
      </w:pPr>
      <w:r>
        <w:t xml:space="preserve">Each variant has its own specialisation code and is a separate row-set in the dataset, so comparisons can be like-for-like.</w:t>
      </w:r>
    </w:p>
    <w:p>
      <w:pPr>
        <w:spacing w:after="120"/>
        <w:jc w:val="both"/>
      </w:pPr>
      <w:r>
        <w:rPr>
          <w:b/>
          <w:bCs/>
        </w:rPr>
        <w:t xml:space="preserve">Course code.</w:t>
      </w:r>
      <w:r>
        <w:t xml:space="preserve"> E.g. </w:t>
      </w:r>
      <w:r>
        <w:rPr>
          <w:rFonts w:ascii="Consolas" w:cs="Consolas" w:eastAsia="Consolas" w:hAnsi="Consolas"/>
          <w:sz w:val="18"/>
          <w:szCs w:val="18"/>
        </w:rPr>
        <w:t xml:space="preserve">ACC1006F</w:t>
      </w:r>
      <w:r>
        <w:t xml:space="preserve">: department (</w:t>
      </w:r>
      <w:r>
        <w:rPr>
          <w:rFonts w:ascii="Consolas" w:cs="Consolas" w:eastAsia="Consolas" w:hAnsi="Consolas"/>
          <w:sz w:val="18"/>
          <w:szCs w:val="18"/>
        </w:rPr>
        <w:t xml:space="preserve">ACC</w:t>
      </w:r>
      <w:r>
        <w:t xml:space="preserve">), year-level digit (</w:t>
      </w:r>
      <w:r>
        <w:rPr>
          <w:rFonts w:ascii="Consolas" w:cs="Consolas" w:eastAsia="Consolas" w:hAnsi="Consolas"/>
          <w:sz w:val="18"/>
          <w:szCs w:val="18"/>
        </w:rPr>
        <w:t xml:space="preserve">1</w:t>
      </w:r>
      <w:r>
        <w:t xml:space="preserve">), course number (</w:t>
      </w:r>
      <w:r>
        <w:rPr>
          <w:rFonts w:ascii="Consolas" w:cs="Consolas" w:eastAsia="Consolas" w:hAnsi="Consolas"/>
          <w:sz w:val="18"/>
          <w:szCs w:val="18"/>
        </w:rPr>
        <w:t xml:space="preserve">006</w:t>
      </w:r>
      <w:r>
        <w:t xml:space="preserve">), and period (</w:t>
      </w:r>
      <w:r>
        <w:rPr>
          <w:rFonts w:ascii="Consolas" w:cs="Consolas" w:eastAsia="Consolas" w:hAnsi="Consolas"/>
          <w:sz w:val="18"/>
          <w:szCs w:val="18"/>
        </w:rPr>
        <w:t xml:space="preserve">F</w:t>
      </w:r>
      <w:r>
        <w:t xml:space="preserve"> first semester, </w:t>
      </w:r>
      <w:r>
        <w:rPr>
          <w:rFonts w:ascii="Consolas" w:cs="Consolas" w:eastAsia="Consolas" w:hAnsi="Consolas"/>
          <w:sz w:val="18"/>
          <w:szCs w:val="18"/>
        </w:rPr>
        <w:t xml:space="preserve">S</w:t>
      </w:r>
      <w:r>
        <w:t xml:space="preserve"> second, </w:t>
      </w:r>
      <w:r>
        <w:rPr>
          <w:rFonts w:ascii="Consolas" w:cs="Consolas" w:eastAsia="Consolas" w:hAnsi="Consolas"/>
          <w:sz w:val="18"/>
          <w:szCs w:val="18"/>
        </w:rPr>
        <w:t xml:space="preserve">W</w:t>
      </w:r>
      <w:r>
        <w:t xml:space="preserve"> whole year, </w:t>
      </w:r>
      <w:r>
        <w:rPr>
          <w:rFonts w:ascii="Consolas" w:cs="Consolas" w:eastAsia="Consolas" w:hAnsi="Consolas"/>
          <w:sz w:val="18"/>
          <w:szCs w:val="18"/>
        </w:rPr>
        <w:t xml:space="preserve">H</w:t>
      </w:r>
      <w:r>
        <w:t xml:space="preserve"> year-long half-course).</w:t>
      </w:r>
    </w:p>
    <w:p>
      <w:pPr>
        <w:spacing w:after="120"/>
        <w:jc w:val="both"/>
      </w:pPr>
      <w:r>
        <w:rPr>
          <w:b/>
          <w:bCs/>
        </w:rPr>
        <w:t xml:space="preserve">NQF credits and levels.</w:t>
      </w:r>
      <w:r>
        <w:t xml:space="preserve"> Credits measure notional learning time (1 credit = 10 notional hours; a standard semester course is 18 credits). Levels 5–8 grade the qualification ladder: level 7 is the exit of a 3-year bachelor's, level 8 of a 4-year professional bachelor's.</w:t>
      </w:r>
    </w:p>
    <w:p>
      <w:pPr>
        <w:pStyle w:val="Heading1"/>
        <w:spacing w:after="160" w:before="360"/>
      </w:pPr>
      <w:r>
        <w:t xml:space="preserve">5. The "ideal student"</w:t>
      </w:r>
    </w:p>
    <w:p>
      <w:pPr>
        <w:spacing w:after="120"/>
        <w:jc w:val="both"/>
      </w:pPr>
      <w:r>
        <w:t xml:space="preserve">Handbooks list more courses than any one student takes: they contain either/or choices, option blocks, and elective slots. Credit load and cost must therefore be computed from </w:t>
      </w:r>
      <w:r>
        <w:rPr>
          <w:i/>
          <w:iCs/>
        </w:rPr>
        <w:t xml:space="preserve">a defensible selection</w:t>
      </w:r>
      <w:r>
        <w:t xml:space="preserve">, not from everything on offer. The dataset defines the </w:t>
      </w:r>
      <w:r>
        <w:rPr>
          <w:b/>
          <w:bCs/>
        </w:rPr>
        <w:t xml:space="preserve">ideal student</w:t>
      </w:r>
      <w:r>
        <w:t xml:space="preserve"> by deterministic, uniformly applied rules: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tcW w:type="dxa" w:w="4513"/>
            <w:shd w:fill="DEEAF6" w:val="clear"/>
            <w:tcMar>
              <w:top w:type="dxa" w:w="60"/>
              <w:left w:type="dxa" w:w="100"/>
              <w:bottom w:type="dxa" w:w="60"/>
              <w:right w:type="dxa" w:w="100"/>
            </w:tcMar>
          </w:tcPr>
          <w:p>
            <w:pPr>
              <w:spacing w:after="0"/>
            </w:pPr>
            <w:r>
              <w:rPr>
                <w:b/>
                <w:bCs/>
              </w:rPr>
              <w:t xml:space="preserve">Structure in the handbook</w:t>
            </w:r>
          </w:p>
        </w:tc>
        <w:tc>
          <w:tcPr>
            <w:tcW w:type="dxa" w:w="4513"/>
            <w:shd w:fill="DEEAF6" w:val="clear"/>
            <w:tcMar>
              <w:top w:type="dxa" w:w="60"/>
              <w:left w:type="dxa" w:w="100"/>
              <w:bottom w:type="dxa" w:w="60"/>
              <w:right w:type="dxa" w:w="100"/>
            </w:tcMar>
          </w:tcPr>
          <w:p>
            <w:pPr>
              <w:spacing w:after="0"/>
            </w:pPr>
            <w:r>
              <w:rPr>
                <w:b/>
                <w:bCs/>
              </w:rPr>
              <w:t xml:space="preserve">Rule</w:t>
            </w:r>
          </w:p>
        </w:tc>
      </w:tr>
      <w:tr>
        <w:trPr>
          <w:tblHeader w:val="false"/>
        </w:trPr>
        <w:tc>
          <w:tcPr>
            <w:tcW w:type="dxa" w:w="4513"/>
            <w:tcMar>
              <w:top w:type="dxa" w:w="60"/>
              <w:left w:type="dxa" w:w="100"/>
              <w:bottom w:type="dxa" w:w="60"/>
              <w:right w:type="dxa" w:w="100"/>
            </w:tcMar>
          </w:tcPr>
          <w:p>
            <w:pPr>
              <w:spacing w:after="0"/>
            </w:pPr>
            <w:r>
              <w:t xml:space="preserve">Core (compulsory) course</w:t>
            </w:r>
          </w:p>
        </w:tc>
        <w:tc>
          <w:tcPr>
            <w:tcW w:type="dxa" w:w="4513"/>
            <w:tcMar>
              <w:top w:type="dxa" w:w="60"/>
              <w:left w:type="dxa" w:w="100"/>
              <w:bottom w:type="dxa" w:w="60"/>
              <w:right w:type="dxa" w:w="100"/>
            </w:tcMar>
          </w:tcPr>
          <w:p>
            <w:pPr>
              <w:spacing w:after="0"/>
            </w:pPr>
            <w:r>
              <w:t xml:space="preserve">Taken.</w:t>
            </w:r>
          </w:p>
        </w:tc>
      </w:tr>
      <w:tr>
        <w:trPr>
          <w:tblHeader w:val="false"/>
        </w:trPr>
        <w:tc>
          <w:tcPr>
            <w:tcW w:type="dxa" w:w="4513"/>
            <w:tcMar>
              <w:top w:type="dxa" w:w="60"/>
              <w:left w:type="dxa" w:w="100"/>
              <w:bottom w:type="dxa" w:w="60"/>
              <w:right w:type="dxa" w:w="100"/>
            </w:tcMar>
          </w:tcPr>
          <w:p>
            <w:pPr>
              <w:spacing w:after="0"/>
            </w:pPr>
            <w:r>
              <w:t xml:space="preserve">"A </w:t>
            </w:r>
            <w:r>
              <w:rPr>
                <w:b/>
                <w:bCs/>
              </w:rPr>
              <w:t xml:space="preserve">or</w:t>
            </w:r>
            <w:r>
              <w:t xml:space="preserve"> B" choices</w:t>
            </w:r>
          </w:p>
        </w:tc>
        <w:tc>
          <w:tcPr>
            <w:tcW w:type="dxa" w:w="4513"/>
            <w:tcMar>
              <w:top w:type="dxa" w:w="60"/>
              <w:left w:type="dxa" w:w="100"/>
              <w:bottom w:type="dxa" w:w="60"/>
              <w:right w:type="dxa" w:w="100"/>
            </w:tcMar>
          </w:tcPr>
          <w:p>
            <w:pPr>
              <w:spacing w:after="0"/>
            </w:pPr>
            <w:r>
              <w:t xml:space="preserve">The first-listed option is taken (handbooks list the default path first). The alternatives remain in the dataset, so "what if the student took B" is a filter, not a re-count.</w:t>
            </w:r>
          </w:p>
        </w:tc>
      </w:tr>
      <w:tr>
        <w:trPr>
          <w:tblHeader w:val="false"/>
        </w:trPr>
        <w:tc>
          <w:tcPr>
            <w:tcW w:type="dxa" w:w="4513"/>
            <w:tcMar>
              <w:top w:type="dxa" w:w="60"/>
              <w:left w:type="dxa" w:w="100"/>
              <w:bottom w:type="dxa" w:w="60"/>
              <w:right w:type="dxa" w:w="100"/>
            </w:tcMar>
          </w:tcPr>
          <w:p>
            <w:pPr>
              <w:spacing w:after="0"/>
            </w:pPr>
            <w:r>
              <w:t xml:space="preserve">"Choose </w:t>
            </w:r>
            <w:r>
              <w:rPr>
                <w:i/>
                <w:iCs/>
              </w:rPr>
              <w:t xml:space="preserve">n</w:t>
            </w:r>
            <w:r>
              <w:t xml:space="preserve"> from the following" menus</w:t>
            </w:r>
          </w:p>
        </w:tc>
        <w:tc>
          <w:tcPr>
            <w:tcW w:type="dxa" w:w="4513"/>
            <w:tcMar>
              <w:top w:type="dxa" w:w="60"/>
              <w:left w:type="dxa" w:w="100"/>
              <w:bottom w:type="dxa" w:w="60"/>
              <w:right w:type="dxa" w:w="100"/>
            </w:tcMar>
          </w:tcPr>
          <w:p>
            <w:pPr>
              <w:spacing w:after="0"/>
            </w:pPr>
            <w:r>
              <w:t xml:space="preserve">The first </w:t>
            </w:r>
            <w:r>
              <w:rPr>
                <w:i/>
                <w:iCs/>
              </w:rPr>
              <w:t xml:space="preserve">n</w:t>
            </w:r>
            <w:r>
              <w:t xml:space="preserve"> menu entries are taken; the menu and the pick-count are recorded.</w:t>
            </w:r>
          </w:p>
        </w:tc>
      </w:tr>
      <w:tr>
        <w:trPr>
          <w:tblHeader w:val="false"/>
        </w:trPr>
        <w:tc>
          <w:tcPr>
            <w:tcW w:type="dxa" w:w="4513"/>
            <w:tcMar>
              <w:top w:type="dxa" w:w="60"/>
              <w:left w:type="dxa" w:w="100"/>
              <w:bottom w:type="dxa" w:w="60"/>
              <w:right w:type="dxa" w:w="100"/>
            </w:tcMar>
          </w:tcPr>
          <w:p>
            <w:pPr>
              <w:spacing w:after="0"/>
            </w:pPr>
            <w:r>
              <w:t xml:space="preserve">Named option streams (e.g. Mathematical Statistics Option vs Applied Statistics Option)</w:t>
            </w:r>
          </w:p>
        </w:tc>
        <w:tc>
          <w:tcPr>
            <w:tcW w:type="dxa" w:w="4513"/>
            <w:tcMar>
              <w:top w:type="dxa" w:w="60"/>
              <w:left w:type="dxa" w:w="100"/>
              <w:bottom w:type="dxa" w:w="60"/>
              <w:right w:type="dxa" w:w="100"/>
            </w:tcMar>
          </w:tcPr>
          <w:p>
            <w:pPr>
              <w:spacing w:after="0"/>
            </w:pPr>
            <w:r>
              <w:t xml:space="preserve">The first-printed stream is taken.</w:t>
            </w:r>
          </w:p>
        </w:tc>
      </w:tr>
      <w:tr>
        <w:trPr>
          <w:tblHeader w:val="false"/>
        </w:trPr>
        <w:tc>
          <w:tcPr>
            <w:tcW w:type="dxa" w:w="4513"/>
            <w:tcMar>
              <w:top w:type="dxa" w:w="60"/>
              <w:left w:type="dxa" w:w="100"/>
              <w:bottom w:type="dxa" w:w="60"/>
              <w:right w:type="dxa" w:w="100"/>
            </w:tcMar>
          </w:tcPr>
          <w:p>
            <w:pPr>
              <w:spacing w:after="0"/>
            </w:pPr>
            <w:r>
              <w:t xml:space="preserve">Elective slots ("Four electives at NQF level 6 … 72 credits")</w:t>
            </w:r>
          </w:p>
        </w:tc>
        <w:tc>
          <w:tcPr>
            <w:tcW w:type="dxa" w:w="4513"/>
            <w:tcMar>
              <w:top w:type="dxa" w:w="60"/>
              <w:left w:type="dxa" w:w="100"/>
              <w:bottom w:type="dxa" w:w="60"/>
              <w:right w:type="dxa" w:w="100"/>
            </w:tcMar>
          </w:tcPr>
          <w:p>
            <w:pPr>
              <w:spacing w:after="0"/>
            </w:pPr>
            <w:r>
              <w:t xml:space="preserve">The slot is taken at its stated credits. If the handbook omits the slot's credits, they are inferred from the year's stated credit total and flagged as inferred.</w:t>
            </w:r>
          </w:p>
        </w:tc>
      </w:tr>
      <w:tr>
        <w:trPr>
          <w:tblHeader w:val="false"/>
        </w:trPr>
        <w:tc>
          <w:tcPr>
            <w:tcW w:type="dxa" w:w="4513"/>
            <w:tcMar>
              <w:top w:type="dxa" w:w="60"/>
              <w:left w:type="dxa" w:w="100"/>
              <w:bottom w:type="dxa" w:w="60"/>
              <w:right w:type="dxa" w:w="100"/>
            </w:tcMar>
          </w:tcPr>
          <w:p>
            <w:pPr>
              <w:spacing w:after="0"/>
            </w:pPr>
            <w:r>
              <w:t xml:space="preserve">"Minimum of </w:t>
            </w:r>
            <w:r>
              <w:rPr>
                <w:i/>
                <w:iCs/>
              </w:rPr>
              <w:t xml:space="preserve">N</w:t>
            </w:r>
            <w:r>
              <w:t xml:space="preserve"> credits" years</w:t>
            </w:r>
          </w:p>
        </w:tc>
        <w:tc>
          <w:tcPr>
            <w:tcW w:type="dxa" w:w="4513"/>
            <w:tcMar>
              <w:top w:type="dxa" w:w="60"/>
              <w:left w:type="dxa" w:w="100"/>
              <w:bottom w:type="dxa" w:w="60"/>
              <w:right w:type="dxa" w:w="100"/>
            </w:tcMar>
          </w:tcPr>
          <w:p>
            <w:pPr>
              <w:spacing w:after="0"/>
            </w:pPr>
            <w:r>
              <w:t xml:space="preserve">The ideal student takes exactly the minimum.</w:t>
            </w:r>
          </w:p>
        </w:tc>
      </w:tr>
    </w:tbl>
    <w:p>
      <w:pPr>
        <w:spacing w:after="120"/>
      </w:pPr>
    </w:p>
    <w:p>
      <w:pPr>
        <w:spacing w:after="120"/>
        <w:jc w:val="both"/>
      </w:pPr>
      <w:r>
        <w:t xml:space="preserve">Every curriculum row carries an </w:t>
      </w:r>
      <w:r>
        <w:rPr>
          <w:b/>
          <w:bCs/>
        </w:rPr>
        <w:t xml:space="preserve">`ideal_student`</w:t>
      </w:r>
      <w:r>
        <w:t xml:space="preserve"> true/false flag applying these rules, so the ideal student is visible </w:t>
      </w:r>
      <w:r>
        <w:rPr>
          <w:i/>
          <w:iCs/>
        </w:rPr>
        <w:t xml:space="preserve">inside</w:t>
      </w:r>
      <w:r>
        <w:t xml:space="preserve"> the main dataset rather than in a separate calculation.</w:t>
      </w:r>
    </w:p>
    <w:p>
      <w:pPr>
        <w:spacing w:after="120"/>
        <w:jc w:val="both"/>
      </w:pPr>
      <w:r>
        <w:rPr>
          <w:b/>
          <w:bCs/>
        </w:rPr>
        <w:t xml:space="preserve">Costing.</w:t>
      </w:r>
      <w:r>
        <w:t xml:space="preserve"> Each taken course is priced at its exact fee from the fees book (course-code to course-code). Elective slots, which name no specific course, are priced at the </w:t>
      </w:r>
      <w:r>
        <w:rPr>
          <w:i/>
          <w:iCs/>
        </w:rPr>
        <w:t xml:space="preserve">median</w:t>
      </w:r>
      <w:r>
        <w:t xml:space="preserve"> fee of same-level courses in the departments that specialisation draws on, scaled to the slot's credits — and always flagged as estimates, with the estimated component reported separately in the summary table.</w:t>
      </w:r>
    </w:p>
    <w:p>
      <w:pPr>
        <w:pStyle w:val="Heading1"/>
        <w:spacing w:after="160" w:before="360"/>
      </w:pPr>
      <w:r>
        <w:t xml:space="preserve">6. The tables</w:t>
      </w:r>
    </w:p>
    <w:p>
      <w:pPr>
        <w:spacing w:after="120"/>
        <w:jc w:val="both"/>
      </w:pPr>
      <w:r>
        <w:t xml:space="preserve">All tables are CSV files in </w:t>
      </w:r>
      <w:r>
        <w:rPr>
          <w:rFonts w:ascii="Consolas" w:cs="Consolas" w:eastAsia="Consolas" w:hAnsi="Consolas"/>
          <w:sz w:val="18"/>
          <w:szCs w:val="18"/>
        </w:rPr>
        <w:t xml:space="preserve">data/processed/</w:t>
      </w:r>
      <w:r>
        <w:t xml:space="preserve"> and open directly in Excel. Every table has a </w:t>
      </w:r>
      <w:r>
        <w:rPr>
          <w:rFonts w:ascii="Consolas" w:cs="Consolas" w:eastAsia="Consolas" w:hAnsi="Consolas"/>
          <w:sz w:val="18"/>
          <w:szCs w:val="18"/>
        </w:rPr>
        <w:t xml:space="preserve">year</w:t>
      </w:r>
      <w:r>
        <w:t xml:space="preserve"> column (handbook edition) — filter on it first.</w:t>
      </w:r>
    </w:p>
    <w:p>
      <w:pPr>
        <w:pStyle w:val="Heading2"/>
        <w:spacing w:after="140" w:before="280"/>
      </w:pPr>
      <w:r>
        <w:t xml:space="preserve">6.1 </w:t>
      </w:r>
      <w:r>
        <w:rPr>
          <w:rFonts w:ascii="Consolas" w:cs="Consolas" w:eastAsia="Consolas" w:hAnsi="Consolas"/>
          <w:sz w:val="18"/>
          <w:szCs w:val="18"/>
        </w:rPr>
        <w:t xml:space="preserve">main_dataset.csv</w:t>
      </w:r>
      <w:r>
        <w:t xml:space="preserve"> — the single source of truth</w:t>
      </w:r>
    </w:p>
    <w:p>
      <w:pPr>
        <w:spacing w:after="120"/>
        <w:jc w:val="both"/>
      </w:pPr>
      <w:r>
        <w:t xml:space="preserve">One row per specialisation × year-of-study × course-slot. Key columns: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397"/>
        <w:gridCol w:w="4629"/>
      </w:tblGrid>
      <w:tr>
        <w:trPr>
          <w:tblHeader/>
        </w:trPr>
        <w:tc>
          <w:tcPr>
            <w:tcW w:type="dxa" w:w="4397"/>
            <w:shd w:fill="DEEAF6" w:val="clear"/>
            <w:tcMar>
              <w:top w:type="dxa" w:w="60"/>
              <w:left w:type="dxa" w:w="100"/>
              <w:bottom w:type="dxa" w:w="60"/>
              <w:right w:type="dxa" w:w="100"/>
            </w:tcMar>
          </w:tcPr>
          <w:p>
            <w:pPr>
              <w:spacing w:after="0"/>
            </w:pPr>
            <w:r>
              <w:rPr>
                <w:b/>
                <w:bCs/>
              </w:rPr>
              <w:t xml:space="preserve">Column</w:t>
            </w:r>
          </w:p>
        </w:tc>
        <w:tc>
          <w:tcPr>
            <w:tcW w:type="dxa" w:w="4629"/>
            <w:shd w:fill="DEEAF6" w:val="clear"/>
            <w:tcMar>
              <w:top w:type="dxa" w:w="60"/>
              <w:left w:type="dxa" w:w="100"/>
              <w:bottom w:type="dxa" w:w="60"/>
              <w:right w:type="dxa" w:w="100"/>
            </w:tcMar>
          </w:tcPr>
          <w:p>
            <w:pPr>
              <w:spacing w:after="0"/>
            </w:pPr>
            <w:r>
              <w:rPr>
                <w:b/>
                <w:bCs/>
              </w:rPr>
              <w:t xml:space="preserve">Meaning</w:t>
            </w:r>
          </w:p>
        </w:tc>
      </w:tr>
      <w:tr>
        <w:trPr>
          <w:tblHeader w:val="false"/>
        </w:trPr>
        <w:tc>
          <w:tcPr>
            <w:tcW w:type="dxa" w:w="4397"/>
            <w:tcMar>
              <w:top w:type="dxa" w:w="60"/>
              <w:left w:type="dxa" w:w="100"/>
              <w:bottom w:type="dxa" w:w="60"/>
              <w:right w:type="dxa" w:w="100"/>
            </w:tcMar>
          </w:tcPr>
          <w:p>
            <w:pPr>
              <w:spacing w:after="0"/>
            </w:pPr>
            <w:r>
              <w:rPr>
                <w:rFonts w:ascii="Consolas" w:cs="Consolas" w:eastAsia="Consolas" w:hAnsi="Consolas"/>
                <w:sz w:val="18"/>
                <w:szCs w:val="18"/>
              </w:rPr>
              <w:t xml:space="preserve">year</w:t>
            </w:r>
          </w:p>
        </w:tc>
        <w:tc>
          <w:tcPr>
            <w:tcW w:type="dxa" w:w="4629"/>
            <w:tcMar>
              <w:top w:type="dxa" w:w="60"/>
              <w:left w:type="dxa" w:w="100"/>
              <w:bottom w:type="dxa" w:w="60"/>
              <w:right w:type="dxa" w:w="100"/>
            </w:tcMar>
          </w:tcPr>
          <w:p>
            <w:pPr>
              <w:spacing w:after="0"/>
            </w:pPr>
            <w:r>
              <w:t xml:space="preserve">handbook edition (2021–2026)</w:t>
            </w:r>
          </w:p>
        </w:tc>
      </w:tr>
      <w:tr>
        <w:trPr>
          <w:tblHeader w:val="false"/>
        </w:trPr>
        <w:tc>
          <w:tcPr>
            <w:tcW w:type="dxa" w:w="4397"/>
            <w:tcMar>
              <w:top w:type="dxa" w:w="60"/>
              <w:left w:type="dxa" w:w="100"/>
              <w:bottom w:type="dxa" w:w="60"/>
              <w:right w:type="dxa" w:w="100"/>
            </w:tcMar>
          </w:tcPr>
          <w:p>
            <w:pPr>
              <w:spacing w:after="0"/>
            </w:pPr>
            <w:r>
              <w:rPr>
                <w:rFonts w:ascii="Consolas" w:cs="Consolas" w:eastAsia="Consolas" w:hAnsi="Consolas"/>
                <w:sz w:val="18"/>
                <w:szCs w:val="18"/>
              </w:rPr>
              <w:t xml:space="preserve">plan_code</w:t>
            </w:r>
            <w:r>
              <w:t xml:space="preserve">, </w:t>
            </w:r>
            <w:r>
              <w:rPr>
                <w:rFonts w:ascii="Consolas" w:cs="Consolas" w:eastAsia="Consolas" w:hAnsi="Consolas"/>
                <w:sz w:val="18"/>
                <w:szCs w:val="18"/>
              </w:rPr>
              <w:t xml:space="preserve">specialisation</w:t>
            </w:r>
            <w:r>
              <w:t xml:space="preserve">, </w:t>
            </w:r>
            <w:r>
              <w:rPr>
                <w:rFonts w:ascii="Consolas" w:cs="Consolas" w:eastAsia="Consolas" w:hAnsi="Consolas"/>
                <w:sz w:val="18"/>
                <w:szCs w:val="18"/>
              </w:rPr>
              <w:t xml:space="preserve">degree_abbrev</w:t>
            </w:r>
            <w:r>
              <w:t xml:space="preserve">, </w:t>
            </w:r>
            <w:r>
              <w:rPr>
                <w:rFonts w:ascii="Consolas" w:cs="Consolas" w:eastAsia="Consolas" w:hAnsi="Consolas"/>
                <w:sz w:val="18"/>
                <w:szCs w:val="18"/>
              </w:rPr>
              <w:t xml:space="preserve">variant</w:t>
            </w:r>
          </w:p>
        </w:tc>
        <w:tc>
          <w:tcPr>
            <w:tcW w:type="dxa" w:w="4629"/>
            <w:tcMar>
              <w:top w:type="dxa" w:w="60"/>
              <w:left w:type="dxa" w:w="100"/>
              <w:bottom w:type="dxa" w:w="60"/>
              <w:right w:type="dxa" w:w="100"/>
            </w:tcMar>
          </w:tcPr>
          <w:p>
            <w:pPr>
              <w:spacing w:after="0"/>
            </w:pPr>
            <w:r>
              <w:t xml:space="preserve">which programme this row belongs to</w:t>
            </w:r>
          </w:p>
        </w:tc>
      </w:tr>
      <w:tr>
        <w:trPr>
          <w:tblHeader w:val="false"/>
        </w:trPr>
        <w:tc>
          <w:tcPr>
            <w:tcW w:type="dxa" w:w="4397"/>
            <w:tcMar>
              <w:top w:type="dxa" w:w="60"/>
              <w:left w:type="dxa" w:w="100"/>
              <w:bottom w:type="dxa" w:w="60"/>
              <w:right w:type="dxa" w:w="100"/>
            </w:tcMar>
          </w:tcPr>
          <w:p>
            <w:pPr>
              <w:spacing w:after="0"/>
            </w:pPr>
            <w:r>
              <w:rPr>
                <w:rFonts w:ascii="Consolas" w:cs="Consolas" w:eastAsia="Consolas" w:hAnsi="Consolas"/>
                <w:sz w:val="18"/>
                <w:szCs w:val="18"/>
              </w:rPr>
              <w:t xml:space="preserve">study_year</w:t>
            </w:r>
          </w:p>
        </w:tc>
        <w:tc>
          <w:tcPr>
            <w:tcW w:type="dxa" w:w="4629"/>
            <w:tcMar>
              <w:top w:type="dxa" w:w="60"/>
              <w:left w:type="dxa" w:w="100"/>
              <w:bottom w:type="dxa" w:w="60"/>
              <w:right w:type="dxa" w:w="100"/>
            </w:tcMar>
          </w:tcPr>
          <w:p>
            <w:pPr>
              <w:spacing w:after="0"/>
            </w:pPr>
            <w:r>
              <w:t xml:space="preserve">year of study within the programme (1–5)</w:t>
            </w:r>
          </w:p>
        </w:tc>
      </w:tr>
      <w:tr>
        <w:trPr>
          <w:tblHeader w:val="false"/>
        </w:trPr>
        <w:tc>
          <w:tcPr>
            <w:tcW w:type="dxa" w:w="4397"/>
            <w:tcMar>
              <w:top w:type="dxa" w:w="60"/>
              <w:left w:type="dxa" w:w="100"/>
              <w:bottom w:type="dxa" w:w="60"/>
              <w:right w:type="dxa" w:w="100"/>
            </w:tcMar>
          </w:tcPr>
          <w:p>
            <w:pPr>
              <w:spacing w:after="0"/>
            </w:pPr>
            <w:r>
              <w:rPr>
                <w:rFonts w:ascii="Consolas" w:cs="Consolas" w:eastAsia="Consolas" w:hAnsi="Consolas"/>
                <w:sz w:val="18"/>
                <w:szCs w:val="18"/>
              </w:rPr>
              <w:t xml:space="preserve">course_code</w:t>
            </w:r>
            <w:r>
              <w:t xml:space="preserve">, </w:t>
            </w:r>
            <w:r>
              <w:rPr>
                <w:rFonts w:ascii="Consolas" w:cs="Consolas" w:eastAsia="Consolas" w:hAnsi="Consolas"/>
                <w:sz w:val="18"/>
                <w:szCs w:val="18"/>
              </w:rPr>
              <w:t xml:space="preserve">course_title</w:t>
            </w:r>
          </w:p>
        </w:tc>
        <w:tc>
          <w:tcPr>
            <w:tcW w:type="dxa" w:w="4629"/>
            <w:tcMar>
              <w:top w:type="dxa" w:w="60"/>
              <w:left w:type="dxa" w:w="100"/>
              <w:bottom w:type="dxa" w:w="60"/>
              <w:right w:type="dxa" w:w="100"/>
            </w:tcMar>
          </w:tcPr>
          <w:p>
            <w:pPr>
              <w:spacing w:after="0"/>
            </w:pPr>
            <w:r>
              <w:t xml:space="preserve">the course (blank code for elective slots)</w:t>
            </w:r>
          </w:p>
        </w:tc>
      </w:tr>
      <w:tr>
        <w:trPr>
          <w:tblHeader w:val="false"/>
        </w:trPr>
        <w:tc>
          <w:tcPr>
            <w:tcW w:type="dxa" w:w="4397"/>
            <w:tcMar>
              <w:top w:type="dxa" w:w="60"/>
              <w:left w:type="dxa" w:w="100"/>
              <w:bottom w:type="dxa" w:w="60"/>
              <w:right w:type="dxa" w:w="100"/>
            </w:tcMar>
          </w:tcPr>
          <w:p>
            <w:pPr>
              <w:spacing w:after="0"/>
            </w:pPr>
            <w:r>
              <w:rPr>
                <w:rFonts w:ascii="Consolas" w:cs="Consolas" w:eastAsia="Consolas" w:hAnsi="Consolas"/>
                <w:sz w:val="18"/>
                <w:szCs w:val="18"/>
              </w:rPr>
              <w:t xml:space="preserve">nqf_credits</w:t>
            </w:r>
            <w:r>
              <w:t xml:space="preserve">, </w:t>
            </w:r>
            <w:r>
              <w:rPr>
                <w:rFonts w:ascii="Consolas" w:cs="Consolas" w:eastAsia="Consolas" w:hAnsi="Consolas"/>
                <w:sz w:val="18"/>
                <w:szCs w:val="18"/>
              </w:rPr>
              <w:t xml:space="preserve">nqf_level</w:t>
            </w:r>
          </w:p>
        </w:tc>
        <w:tc>
          <w:tcPr>
            <w:tcW w:type="dxa" w:w="4629"/>
            <w:tcMar>
              <w:top w:type="dxa" w:w="60"/>
              <w:left w:type="dxa" w:w="100"/>
              <w:bottom w:type="dxa" w:w="60"/>
              <w:right w:type="dxa" w:w="100"/>
            </w:tcMar>
          </w:tcPr>
          <w:p>
            <w:pPr>
              <w:spacing w:after="0"/>
            </w:pPr>
            <w:r>
              <w:t xml:space="preserve">credit value and NQF level as printed</w:t>
            </w:r>
          </w:p>
        </w:tc>
      </w:tr>
      <w:tr>
        <w:trPr>
          <w:tblHeader w:val="false"/>
        </w:trPr>
        <w:tc>
          <w:tcPr>
            <w:tcW w:type="dxa" w:w="4397"/>
            <w:tcMar>
              <w:top w:type="dxa" w:w="60"/>
              <w:left w:type="dxa" w:w="100"/>
              <w:bottom w:type="dxa" w:w="60"/>
              <w:right w:type="dxa" w:w="100"/>
            </w:tcMar>
          </w:tcPr>
          <w:p>
            <w:pPr>
              <w:spacing w:after="0"/>
            </w:pPr>
            <w:r>
              <w:rPr>
                <w:rFonts w:ascii="Consolas" w:cs="Consolas" w:eastAsia="Consolas" w:hAnsi="Consolas"/>
                <w:sz w:val="18"/>
                <w:szCs w:val="18"/>
              </w:rPr>
              <w:t xml:space="preserve">requirement</w:t>
            </w:r>
          </w:p>
        </w:tc>
        <w:tc>
          <w:tcPr>
            <w:tcW w:type="dxa" w:w="4629"/>
            <w:tcMar>
              <w:top w:type="dxa" w:w="60"/>
              <w:left w:type="dxa" w:w="100"/>
              <w:bottom w:type="dxa" w:w="60"/>
              <w:right w:type="dxa" w:w="100"/>
            </w:tcMar>
          </w:tcPr>
          <w:p>
            <w:pPr>
              <w:spacing w:after="0"/>
            </w:pPr>
            <w:r>
              <w:rPr>
                <w:rFonts w:ascii="Consolas" w:cs="Consolas" w:eastAsia="Consolas" w:hAnsi="Consolas"/>
                <w:sz w:val="18"/>
                <w:szCs w:val="18"/>
              </w:rPr>
              <w:t xml:space="preserve">core</w:t>
            </w:r>
            <w:r>
              <w:t xml:space="preserve"> / </w:t>
            </w:r>
            <w:r>
              <w:rPr>
                <w:rFonts w:ascii="Consolas" w:cs="Consolas" w:eastAsia="Consolas" w:hAnsi="Consolas"/>
                <w:sz w:val="18"/>
                <w:szCs w:val="18"/>
              </w:rPr>
              <w:t xml:space="preserve">option</w:t>
            </w:r>
            <w:r>
              <w:t xml:space="preserve"> (a choice) / </w:t>
            </w:r>
            <w:r>
              <w:rPr>
                <w:rFonts w:ascii="Consolas" w:cs="Consolas" w:eastAsia="Consolas" w:hAnsi="Consolas"/>
                <w:sz w:val="18"/>
                <w:szCs w:val="18"/>
              </w:rPr>
              <w:t xml:space="preserve">elective</w:t>
            </w:r>
            <w:r>
              <w:t xml:space="preserve"> (a slot) / </w:t>
            </w:r>
            <w:r>
              <w:rPr>
                <w:rFonts w:ascii="Consolas" w:cs="Consolas" w:eastAsia="Consolas" w:hAnsi="Consolas"/>
                <w:sz w:val="18"/>
                <w:szCs w:val="18"/>
              </w:rPr>
              <w:t xml:space="preserve">alternative</w:t>
            </w:r>
            <w:r>
              <w:t xml:space="preserve"> (listed but not counted)</w:t>
            </w:r>
          </w:p>
        </w:tc>
      </w:tr>
      <w:tr>
        <w:trPr>
          <w:tblHeader w:val="false"/>
        </w:trPr>
        <w:tc>
          <w:tcPr>
            <w:tcW w:type="dxa" w:w="4397"/>
            <w:tcMar>
              <w:top w:type="dxa" w:w="60"/>
              <w:left w:type="dxa" w:w="100"/>
              <w:bottom w:type="dxa" w:w="60"/>
              <w:right w:type="dxa" w:w="100"/>
            </w:tcMar>
          </w:tcPr>
          <w:p>
            <w:pPr>
              <w:spacing w:after="0"/>
            </w:pPr>
            <w:r>
              <w:rPr>
                <w:rFonts w:ascii="Consolas" w:cs="Consolas" w:eastAsia="Consolas" w:hAnsi="Consolas"/>
                <w:sz w:val="18"/>
                <w:szCs w:val="18"/>
              </w:rPr>
              <w:t xml:space="preserve">choice_group</w:t>
            </w:r>
            <w:r>
              <w:t xml:space="preserve">, </w:t>
            </w:r>
            <w:r>
              <w:rPr>
                <w:rFonts w:ascii="Consolas" w:cs="Consolas" w:eastAsia="Consolas" w:hAnsi="Consolas"/>
                <w:sz w:val="18"/>
                <w:szCs w:val="18"/>
              </w:rPr>
              <w:t xml:space="preserve">choice_member</w:t>
            </w:r>
            <w:r>
              <w:t xml:space="preserve">, </w:t>
            </w:r>
            <w:r>
              <w:rPr>
                <w:rFonts w:ascii="Consolas" w:cs="Consolas" w:eastAsia="Consolas" w:hAnsi="Consolas"/>
                <w:sz w:val="18"/>
                <w:szCs w:val="18"/>
              </w:rPr>
              <w:t xml:space="preserve">choice_pick_n</w:t>
            </w:r>
          </w:p>
        </w:tc>
        <w:tc>
          <w:tcPr>
            <w:tcW w:type="dxa" w:w="4629"/>
            <w:tcMar>
              <w:top w:type="dxa" w:w="60"/>
              <w:left w:type="dxa" w:w="100"/>
              <w:bottom w:type="dxa" w:w="60"/>
              <w:right w:type="dxa" w:w="100"/>
            </w:tcMar>
          </w:tcPr>
          <w:p>
            <w:pPr>
              <w:spacing w:after="0"/>
            </w:pPr>
            <w:r>
              <w:t xml:space="preserve">which choice this row belongs to, its position, and how many are taken</w:t>
            </w:r>
          </w:p>
        </w:tc>
      </w:tr>
      <w:tr>
        <w:trPr>
          <w:tblHeader w:val="false"/>
        </w:trPr>
        <w:tc>
          <w:tcPr>
            <w:tcW w:type="dxa" w:w="4397"/>
            <w:tcMar>
              <w:top w:type="dxa" w:w="60"/>
              <w:left w:type="dxa" w:w="100"/>
              <w:bottom w:type="dxa" w:w="60"/>
              <w:right w:type="dxa" w:w="100"/>
            </w:tcMar>
          </w:tcPr>
          <w:p>
            <w:pPr>
              <w:spacing w:after="0"/>
            </w:pPr>
            <w:r>
              <w:rPr>
                <w:rFonts w:ascii="Consolas" w:cs="Consolas" w:eastAsia="Consolas" w:hAnsi="Consolas"/>
                <w:sz w:val="18"/>
                <w:szCs w:val="18"/>
              </w:rPr>
              <w:t xml:space="preserve">ideal_student</w:t>
            </w:r>
          </w:p>
        </w:tc>
        <w:tc>
          <w:tcPr>
            <w:tcW w:type="dxa" w:w="4629"/>
            <w:tcMar>
              <w:top w:type="dxa" w:w="60"/>
              <w:left w:type="dxa" w:w="100"/>
              <w:bottom w:type="dxa" w:w="60"/>
              <w:right w:type="dxa" w:w="100"/>
            </w:tcMar>
          </w:tcPr>
          <w:p>
            <w:pPr>
              <w:spacing w:after="0"/>
            </w:pPr>
            <w:r>
              <w:rPr>
                <w:b/>
                <w:bCs/>
              </w:rPr>
              <w:t xml:space="preserve">True if the ideal student takes this row</w:t>
            </w:r>
          </w:p>
        </w:tc>
      </w:tr>
      <w:tr>
        <w:trPr>
          <w:tblHeader w:val="false"/>
        </w:trPr>
        <w:tc>
          <w:tcPr>
            <w:tcW w:type="dxa" w:w="4397"/>
            <w:tcMar>
              <w:top w:type="dxa" w:w="60"/>
              <w:left w:type="dxa" w:w="100"/>
              <w:bottom w:type="dxa" w:w="60"/>
              <w:right w:type="dxa" w:w="100"/>
            </w:tcMar>
          </w:tcPr>
          <w:p>
            <w:pPr>
              <w:spacing w:after="0"/>
            </w:pPr>
            <w:r>
              <w:rPr>
                <w:rFonts w:ascii="Consolas" w:cs="Consolas" w:eastAsia="Consolas" w:hAnsi="Consolas"/>
                <w:sz w:val="18"/>
                <w:szCs w:val="18"/>
              </w:rPr>
              <w:t xml:space="preserve">credits_inferred</w:t>
            </w:r>
          </w:p>
        </w:tc>
        <w:tc>
          <w:tcPr>
            <w:tcW w:type="dxa" w:w="4629"/>
            <w:tcMar>
              <w:top w:type="dxa" w:w="60"/>
              <w:left w:type="dxa" w:w="100"/>
              <w:bottom w:type="dxa" w:w="60"/>
              <w:right w:type="dxa" w:w="100"/>
            </w:tcMar>
          </w:tcPr>
          <w:p>
            <w:pPr>
              <w:spacing w:after="0"/>
            </w:pPr>
            <w:r>
              <w:t xml:space="preserve">True where slot credits were derived from the year total</w:t>
            </w:r>
          </w:p>
        </w:tc>
      </w:tr>
      <w:tr>
        <w:trPr>
          <w:tblHeader w:val="false"/>
        </w:trPr>
        <w:tc>
          <w:tcPr>
            <w:tcW w:type="dxa" w:w="4397"/>
            <w:tcMar>
              <w:top w:type="dxa" w:w="60"/>
              <w:left w:type="dxa" w:w="100"/>
              <w:bottom w:type="dxa" w:w="60"/>
              <w:right w:type="dxa" w:w="100"/>
            </w:tcMar>
          </w:tcPr>
          <w:p>
            <w:pPr>
              <w:spacing w:after="0"/>
            </w:pPr>
            <w:r>
              <w:rPr>
                <w:rFonts w:ascii="Consolas" w:cs="Consolas" w:eastAsia="Consolas" w:hAnsi="Consolas"/>
                <w:sz w:val="18"/>
                <w:szCs w:val="18"/>
              </w:rPr>
              <w:t xml:space="preserve">fee_zar</w:t>
            </w:r>
            <w:r>
              <w:t xml:space="preserve">, </w:t>
            </w:r>
            <w:r>
              <w:rPr>
                <w:rFonts w:ascii="Consolas" w:cs="Consolas" w:eastAsia="Consolas" w:hAnsi="Consolas"/>
                <w:sz w:val="18"/>
                <w:szCs w:val="18"/>
              </w:rPr>
              <w:t xml:space="preserve">fee_source</w:t>
            </w:r>
          </w:p>
        </w:tc>
        <w:tc>
          <w:tcPr>
            <w:tcW w:type="dxa" w:w="4629"/>
            <w:tcMar>
              <w:top w:type="dxa" w:w="60"/>
              <w:left w:type="dxa" w:w="100"/>
              <w:bottom w:type="dxa" w:w="60"/>
              <w:right w:type="dxa" w:w="100"/>
            </w:tcMar>
          </w:tcPr>
          <w:p>
            <w:pPr>
              <w:spacing w:after="0"/>
            </w:pPr>
            <w:r>
              <w:t xml:space="preserve">the Rand fee and how it was resolved (</w:t>
            </w:r>
            <w:r>
              <w:rPr>
                <w:rFonts w:ascii="Consolas" w:cs="Consolas" w:eastAsia="Consolas" w:hAnsi="Consolas"/>
                <w:sz w:val="18"/>
                <w:szCs w:val="18"/>
              </w:rPr>
              <w:t xml:space="preserve">exact</w:t>
            </w:r>
            <w:r>
              <w:t xml:space="preserve">, </w:t>
            </w:r>
            <w:r>
              <w:rPr>
                <w:rFonts w:ascii="Consolas" w:cs="Consolas" w:eastAsia="Consolas" w:hAnsi="Consolas"/>
                <w:sz w:val="18"/>
                <w:szCs w:val="18"/>
              </w:rPr>
              <w:t xml:space="preserve">variant:…</w:t>
            </w:r>
            <w:r>
              <w:t xml:space="preserve">, </w:t>
            </w:r>
            <w:r>
              <w:rPr>
                <w:rFonts w:ascii="Consolas" w:cs="Consolas" w:eastAsia="Consolas" w:hAnsi="Consolas"/>
                <w:sz w:val="18"/>
                <w:szCs w:val="18"/>
              </w:rPr>
              <w:t xml:space="preserve">estimated_median</w:t>
            </w:r>
            <w:r>
              <w:t xml:space="preserve">)</w:t>
            </w:r>
          </w:p>
        </w:tc>
      </w:tr>
      <w:tr>
        <w:trPr>
          <w:tblHeader w:val="false"/>
        </w:trPr>
        <w:tc>
          <w:tcPr>
            <w:tcW w:type="dxa" w:w="4397"/>
            <w:tcMar>
              <w:top w:type="dxa" w:w="60"/>
              <w:left w:type="dxa" w:w="100"/>
              <w:bottom w:type="dxa" w:w="60"/>
              <w:right w:type="dxa" w:w="100"/>
            </w:tcMar>
          </w:tcPr>
          <w:p>
            <w:pPr>
              <w:spacing w:after="0"/>
            </w:pPr>
            <w:r>
              <w:rPr>
                <w:rFonts w:ascii="Consolas" w:cs="Consolas" w:eastAsia="Consolas" w:hAnsi="Consolas"/>
                <w:sz w:val="18"/>
                <w:szCs w:val="18"/>
              </w:rPr>
              <w:t xml:space="preserve">source_page</w:t>
            </w:r>
          </w:p>
        </w:tc>
        <w:tc>
          <w:tcPr>
            <w:tcW w:type="dxa" w:w="4629"/>
            <w:tcMar>
              <w:top w:type="dxa" w:w="60"/>
              <w:left w:type="dxa" w:w="100"/>
              <w:bottom w:type="dxa" w:w="60"/>
              <w:right w:type="dxa" w:w="100"/>
            </w:tcMar>
          </w:tcPr>
          <w:p>
            <w:pPr>
              <w:spacing w:after="0"/>
            </w:pPr>
            <w:r>
              <w:t xml:space="preserve">PDF page in that year's handbook</w:t>
            </w:r>
          </w:p>
        </w:tc>
      </w:tr>
    </w:tbl>
    <w:p>
      <w:pPr>
        <w:spacing w:after="120"/>
      </w:pPr>
    </w:p>
    <w:p>
      <w:pPr>
        <w:pStyle w:val="Heading2"/>
        <w:spacing w:after="140" w:before="280"/>
      </w:pPr>
      <w:r>
        <w:t xml:space="preserve">6.2 </w:t>
      </w:r>
      <w:r>
        <w:rPr>
          <w:rFonts w:ascii="Consolas" w:cs="Consolas" w:eastAsia="Consolas" w:hAnsi="Consolas"/>
          <w:sz w:val="18"/>
          <w:szCs w:val="18"/>
        </w:rPr>
        <w:t xml:space="preserve">ideal_student_summary.csv</w:t>
      </w:r>
      <w:r>
        <w:t xml:space="preserve"> — one row per specialisation-year</w:t>
      </w:r>
    </w:p>
    <w:p>
      <w:pPr>
        <w:spacing w:after="120"/>
        <w:jc w:val="both"/>
      </w:pPr>
      <w:r>
        <w:t xml:space="preserve">The roll-up used for most review 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43"/>
        <w:gridCol w:w="5583"/>
      </w:tblGrid>
      <w:tr>
        <w:trPr>
          <w:tblHeader/>
        </w:trPr>
        <w:tc>
          <w:tcPr>
            <w:tcW w:type="dxa" w:w="3443"/>
            <w:shd w:fill="DEEAF6" w:val="clear"/>
            <w:tcMar>
              <w:top w:type="dxa" w:w="60"/>
              <w:left w:type="dxa" w:w="100"/>
              <w:bottom w:type="dxa" w:w="60"/>
              <w:right w:type="dxa" w:w="100"/>
            </w:tcMar>
          </w:tcPr>
          <w:p>
            <w:pPr>
              <w:spacing w:after="0"/>
            </w:pPr>
            <w:r>
              <w:rPr>
                <w:b/>
                <w:bCs/>
              </w:rPr>
              <w:t xml:space="preserve">Column</w:t>
            </w:r>
          </w:p>
        </w:tc>
        <w:tc>
          <w:tcPr>
            <w:tcW w:type="dxa" w:w="5583"/>
            <w:shd w:fill="DEEAF6" w:val="clear"/>
            <w:tcMar>
              <w:top w:type="dxa" w:w="60"/>
              <w:left w:type="dxa" w:w="100"/>
              <w:bottom w:type="dxa" w:w="60"/>
              <w:right w:type="dxa" w:w="100"/>
            </w:tcMar>
          </w:tcPr>
          <w:p>
            <w:pPr>
              <w:spacing w:after="0"/>
            </w:pPr>
            <w:r>
              <w:rPr>
                <w:b/>
                <w:bCs/>
              </w:rPr>
              <w:t xml:space="preserve">Meaning</w:t>
            </w:r>
          </w:p>
        </w:tc>
      </w:tr>
      <w:tr>
        <w:trPr>
          <w:tblHeader w:val="false"/>
        </w:trPr>
        <w:tc>
          <w:tcPr>
            <w:tcW w:type="dxa" w:w="3443"/>
            <w:tcMar>
              <w:top w:type="dxa" w:w="60"/>
              <w:left w:type="dxa" w:w="100"/>
              <w:bottom w:type="dxa" w:w="60"/>
              <w:right w:type="dxa" w:w="100"/>
            </w:tcMar>
          </w:tcPr>
          <w:p>
            <w:pPr>
              <w:spacing w:after="0"/>
            </w:pPr>
            <w:r>
              <w:rPr>
                <w:rFonts w:ascii="Consolas" w:cs="Consolas" w:eastAsia="Consolas" w:hAnsi="Consolas"/>
                <w:sz w:val="18"/>
                <w:szCs w:val="18"/>
              </w:rPr>
              <w:t xml:space="preserve">credits_ideal</w:t>
            </w:r>
          </w:p>
        </w:tc>
        <w:tc>
          <w:tcPr>
            <w:tcW w:type="dxa" w:w="5583"/>
            <w:tcMar>
              <w:top w:type="dxa" w:w="60"/>
              <w:left w:type="dxa" w:w="100"/>
              <w:bottom w:type="dxa" w:w="60"/>
              <w:right w:type="dxa" w:w="100"/>
            </w:tcMar>
          </w:tcPr>
          <w:p>
            <w:pPr>
              <w:spacing w:after="0"/>
            </w:pPr>
            <w:r>
              <w:t xml:space="preserve">credits the ideal student carries that year</w:t>
            </w:r>
          </w:p>
        </w:tc>
      </w:tr>
      <w:tr>
        <w:trPr>
          <w:tblHeader w:val="false"/>
        </w:trPr>
        <w:tc>
          <w:tcPr>
            <w:tcW w:type="dxa" w:w="3443"/>
            <w:tcMar>
              <w:top w:type="dxa" w:w="60"/>
              <w:left w:type="dxa" w:w="100"/>
              <w:bottom w:type="dxa" w:w="60"/>
              <w:right w:type="dxa" w:w="100"/>
            </w:tcMar>
          </w:tcPr>
          <w:p>
            <w:pPr>
              <w:spacing w:after="0"/>
            </w:pPr>
            <w:r>
              <w:rPr>
                <w:rFonts w:ascii="Consolas" w:cs="Consolas" w:eastAsia="Consolas" w:hAnsi="Consolas"/>
                <w:sz w:val="18"/>
                <w:szCs w:val="18"/>
              </w:rPr>
              <w:t xml:space="preserve">credits_stated</w:t>
            </w:r>
            <w:r>
              <w:t xml:space="preserve"> / </w:t>
            </w:r>
            <w:r>
              <w:rPr>
                <w:rFonts w:ascii="Consolas" w:cs="Consolas" w:eastAsia="Consolas" w:hAnsi="Consolas"/>
                <w:sz w:val="18"/>
                <w:szCs w:val="18"/>
              </w:rPr>
              <w:t xml:space="preserve">credit_delta</w:t>
            </w:r>
          </w:p>
        </w:tc>
        <w:tc>
          <w:tcPr>
            <w:tcW w:type="dxa" w:w="5583"/>
            <w:tcMar>
              <w:top w:type="dxa" w:w="60"/>
              <w:left w:type="dxa" w:w="100"/>
              <w:bottom w:type="dxa" w:w="60"/>
              <w:right w:type="dxa" w:w="100"/>
            </w:tcMar>
          </w:tcPr>
          <w:p>
            <w:pPr>
              <w:spacing w:after="0"/>
            </w:pPr>
            <w:r>
              <w:t xml:space="preserve">the handbook's own printed total, and the difference</w:t>
            </w:r>
          </w:p>
        </w:tc>
      </w:tr>
      <w:tr>
        <w:trPr>
          <w:tblHeader w:val="false"/>
        </w:trPr>
        <w:tc>
          <w:tcPr>
            <w:tcW w:type="dxa" w:w="3443"/>
            <w:tcMar>
              <w:top w:type="dxa" w:w="60"/>
              <w:left w:type="dxa" w:w="100"/>
              <w:bottom w:type="dxa" w:w="60"/>
              <w:right w:type="dxa" w:w="100"/>
            </w:tcMar>
          </w:tcPr>
          <w:p>
            <w:pPr>
              <w:spacing w:after="0"/>
            </w:pPr>
            <w:r>
              <w:rPr>
                <w:rFonts w:ascii="Consolas" w:cs="Consolas" w:eastAsia="Consolas" w:hAnsi="Consolas"/>
                <w:sz w:val="18"/>
                <w:szCs w:val="18"/>
              </w:rPr>
              <w:t xml:space="preserve">fee_ideal_zar</w:t>
            </w:r>
          </w:p>
        </w:tc>
        <w:tc>
          <w:tcPr>
            <w:tcW w:type="dxa" w:w="5583"/>
            <w:tcMar>
              <w:top w:type="dxa" w:w="60"/>
              <w:left w:type="dxa" w:w="100"/>
              <w:bottom w:type="dxa" w:w="60"/>
              <w:right w:type="dxa" w:w="100"/>
            </w:tcMar>
          </w:tcPr>
          <w:p>
            <w:pPr>
              <w:spacing w:after="0"/>
            </w:pPr>
            <w:r>
              <w:t xml:space="preserve">computed cost of the ideal student's year</w:t>
            </w:r>
          </w:p>
        </w:tc>
      </w:tr>
      <w:tr>
        <w:trPr>
          <w:tblHeader w:val="false"/>
        </w:trPr>
        <w:tc>
          <w:tcPr>
            <w:tcW w:type="dxa" w:w="3443"/>
            <w:tcMar>
              <w:top w:type="dxa" w:w="60"/>
              <w:left w:type="dxa" w:w="100"/>
              <w:bottom w:type="dxa" w:w="60"/>
              <w:right w:type="dxa" w:w="100"/>
            </w:tcMar>
          </w:tcPr>
          <w:p>
            <w:pPr>
              <w:spacing w:after="0"/>
            </w:pPr>
            <w:r>
              <w:rPr>
                <w:rFonts w:ascii="Consolas" w:cs="Consolas" w:eastAsia="Consolas" w:hAnsi="Consolas"/>
                <w:sz w:val="18"/>
                <w:szCs w:val="18"/>
              </w:rPr>
              <w:t xml:space="preserve">fee_estimated_component_zar</w:t>
            </w:r>
          </w:p>
        </w:tc>
        <w:tc>
          <w:tcPr>
            <w:tcW w:type="dxa" w:w="5583"/>
            <w:tcMar>
              <w:top w:type="dxa" w:w="60"/>
              <w:left w:type="dxa" w:w="100"/>
              <w:bottom w:type="dxa" w:w="60"/>
              <w:right w:type="dxa" w:w="100"/>
            </w:tcMar>
          </w:tcPr>
          <w:p>
            <w:pPr>
              <w:spacing w:after="0"/>
            </w:pPr>
            <w:r>
              <w:t xml:space="preserve">how much of that is elective-slot estimation</w:t>
            </w:r>
          </w:p>
        </w:tc>
      </w:tr>
      <w:tr>
        <w:trPr>
          <w:tblHeader w:val="false"/>
        </w:trPr>
        <w:tc>
          <w:tcPr>
            <w:tcW w:type="dxa" w:w="3443"/>
            <w:tcMar>
              <w:top w:type="dxa" w:w="60"/>
              <w:left w:type="dxa" w:w="100"/>
              <w:bottom w:type="dxa" w:w="60"/>
              <w:right w:type="dxa" w:w="100"/>
            </w:tcMar>
          </w:tcPr>
          <w:p>
            <w:pPr>
              <w:spacing w:after="0"/>
            </w:pPr>
            <w:r>
              <w:rPr>
                <w:rFonts w:ascii="Consolas" w:cs="Consolas" w:eastAsia="Consolas" w:hAnsi="Consolas"/>
                <w:sz w:val="18"/>
                <w:szCs w:val="18"/>
              </w:rPr>
              <w:t xml:space="preserve">fee_published_zar</w:t>
            </w:r>
            <w:r>
              <w:t xml:space="preserve"> / </w:t>
            </w:r>
            <w:r>
              <w:rPr>
                <w:rFonts w:ascii="Consolas" w:cs="Consolas" w:eastAsia="Consolas" w:hAnsi="Consolas"/>
                <w:sz w:val="18"/>
                <w:szCs w:val="18"/>
              </w:rPr>
              <w:t xml:space="preserve">fee_delta_pct</w:t>
            </w:r>
          </w:p>
        </w:tc>
        <w:tc>
          <w:tcPr>
            <w:tcW w:type="dxa" w:w="5583"/>
            <w:tcMar>
              <w:top w:type="dxa" w:w="60"/>
              <w:left w:type="dxa" w:w="100"/>
              <w:bottom w:type="dxa" w:w="60"/>
              <w:right w:type="dxa" w:w="100"/>
            </w:tcMar>
          </w:tcPr>
          <w:p>
            <w:pPr>
              <w:spacing w:after="0"/>
            </w:pPr>
            <w:r>
              <w:t xml:space="preserve">UCT's published "typical" fee for that programme-year, and the percentage difference</w:t>
            </w:r>
          </w:p>
        </w:tc>
      </w:tr>
      <w:tr>
        <w:trPr>
          <w:tblHeader w:val="false"/>
        </w:trPr>
        <w:tc>
          <w:tcPr>
            <w:tcW w:type="dxa" w:w="3443"/>
            <w:tcMar>
              <w:top w:type="dxa" w:w="60"/>
              <w:left w:type="dxa" w:w="100"/>
              <w:bottom w:type="dxa" w:w="60"/>
              <w:right w:type="dxa" w:w="100"/>
            </w:tcMar>
          </w:tcPr>
          <w:p>
            <w:pPr>
              <w:spacing w:after="0"/>
            </w:pPr>
            <w:r>
              <w:rPr>
                <w:rFonts w:ascii="Consolas" w:cs="Consolas" w:eastAsia="Consolas" w:hAnsi="Consolas"/>
                <w:sz w:val="18"/>
                <w:szCs w:val="18"/>
              </w:rPr>
              <w:t xml:space="preserve">fee_match_method</w:t>
            </w:r>
          </w:p>
        </w:tc>
        <w:tc>
          <w:tcPr>
            <w:tcW w:type="dxa" w:w="5583"/>
            <w:tcMar>
              <w:top w:type="dxa" w:w="60"/>
              <w:left w:type="dxa" w:w="100"/>
              <w:bottom w:type="dxa" w:w="60"/>
              <w:right w:type="dxa" w:w="100"/>
            </w:tcMar>
          </w:tcPr>
          <w:p>
            <w:pPr>
              <w:spacing w:after="0"/>
            </w:pPr>
            <w:r>
              <w:t xml:space="preserve">how the published fee was matched (see §8, caveat 4)</w:t>
            </w:r>
          </w:p>
        </w:tc>
      </w:tr>
    </w:tbl>
    <w:p>
      <w:pPr>
        <w:spacing w:after="120"/>
      </w:pPr>
    </w:p>
    <w:p>
      <w:pPr>
        <w:pStyle w:val="Heading2"/>
        <w:spacing w:after="140" w:before="280"/>
      </w:pPr>
      <w:r>
        <w:t xml:space="preserve">6.3 Supporting tables</w:t>
      </w:r>
    </w:p>
    <w:p>
      <w:pPr>
        <w:spacing w:after="120"/>
        <w:jc w:val="both"/>
      </w:pPr>
      <w:r>
        <w:rPr>
          <w:rFonts w:ascii="Consolas" w:cs="Consolas" w:eastAsia="Consolas" w:hAnsi="Consolas"/>
          <w:sz w:val="18"/>
          <w:szCs w:val="18"/>
        </w:rPr>
        <w:t xml:space="preserve">specialisations</w:t>
      </w:r>
      <w:r>
        <w:t xml:space="preserve"> (the register, per year), </w:t>
      </w:r>
      <w:r>
        <w:rPr>
          <w:rFonts w:ascii="Consolas" w:cs="Consolas" w:eastAsia="Consolas" w:hAnsi="Consolas"/>
          <w:sz w:val="18"/>
          <w:szCs w:val="18"/>
        </w:rPr>
        <w:t xml:space="preserve">curriculum</w:t>
      </w:r>
      <w:r>
        <w:t xml:space="preserve"> and </w:t>
      </w:r>
      <w:r>
        <w:rPr>
          <w:rFonts w:ascii="Consolas" w:cs="Consolas" w:eastAsia="Consolas" w:hAnsi="Consolas"/>
          <w:sz w:val="18"/>
          <w:szCs w:val="18"/>
        </w:rPr>
        <w:t xml:space="preserve">curriculum_totals</w:t>
      </w:r>
      <w:r>
        <w:t xml:space="preserve"> (the raw curriculum tables and their printed totals), </w:t>
      </w:r>
      <w:r>
        <w:rPr>
          <w:rFonts w:ascii="Consolas" w:cs="Consolas" w:eastAsia="Consolas" w:hAnsi="Consolas"/>
          <w:sz w:val="18"/>
          <w:szCs w:val="18"/>
        </w:rPr>
        <w:t xml:space="preserve">courses</w:t>
      </w:r>
      <w:r>
        <w:t xml:space="preserve"> (course catalogue: convener, entry requirements, assessment), </w:t>
      </w:r>
      <w:r>
        <w:rPr>
          <w:rFonts w:ascii="Consolas" w:cs="Consolas" w:eastAsia="Consolas" w:hAnsi="Consolas"/>
          <w:sz w:val="18"/>
          <w:szCs w:val="18"/>
        </w:rPr>
        <w:t xml:space="preserve">course_fees</w:t>
      </w:r>
      <w:r>
        <w:t xml:space="preserve"> (every course's fee), </w:t>
      </w:r>
      <w:r>
        <w:rPr>
          <w:rFonts w:ascii="Consolas" w:cs="Consolas" w:eastAsia="Consolas" w:hAnsi="Consolas"/>
          <w:sz w:val="18"/>
          <w:szCs w:val="18"/>
        </w:rPr>
        <w:t xml:space="preserve">programme_fees_published</w:t>
      </w:r>
      <w:r>
        <w:t xml:space="preserve"> (the fees book's typical annual fees as printed), and </w:t>
      </w:r>
      <w:r>
        <w:rPr>
          <w:rFonts w:ascii="Consolas" w:cs="Consolas" w:eastAsia="Consolas" w:hAnsi="Consolas"/>
          <w:sz w:val="18"/>
          <w:szCs w:val="18"/>
        </w:rPr>
        <w:t xml:space="preserve">degree_rules</w:t>
      </w:r>
      <w:r>
        <w:t xml:space="preserve"> — the </w:t>
      </w:r>
      <w:r>
        <w:rPr>
          <w:b/>
          <w:bCs/>
        </w:rPr>
        <w:t xml:space="preserve">rules layer</w:t>
      </w:r>
      <w:r>
        <w:t xml:space="preserve">: every degree-level rule the faculty-rules sections print (minimum total credits, level-specific requirements, durations, LAW's stream grand totals), one row per printed statement with the rule reference, the handbook page, and a verbatim quote. This is the table that answers question 3 of §1 and anchors the whole-degree validation check (§7).</w:t>
      </w:r>
    </w:p>
    <w:p>
      <w:pPr>
        <w:pStyle w:val="Heading2"/>
        <w:spacing w:after="140" w:before="280"/>
      </w:pPr>
      <w:r>
        <w:t xml:space="preserve">6.4 </w:t>
      </w:r>
      <w:r>
        <w:rPr>
          <w:rFonts w:ascii="Consolas" w:cs="Consolas" w:eastAsia="Consolas" w:hAnsi="Consolas"/>
          <w:sz w:val="18"/>
          <w:szCs w:val="18"/>
        </w:rPr>
        <w:t xml:space="preserve">main_dataset_final.csv</w:t>
      </w:r>
      <w:r>
        <w:t xml:space="preserve"> — the final-clean dataset</w:t>
      </w:r>
    </w:p>
    <w:p>
      <w:pPr>
        <w:spacing w:after="120"/>
        <w:jc w:val="both"/>
      </w:pPr>
      <w:r>
        <w:t xml:space="preserve">Every row of </w:t>
      </w:r>
      <w:r>
        <w:rPr>
          <w:rFonts w:ascii="Consolas" w:cs="Consolas" w:eastAsia="Consolas" w:hAnsi="Consolas"/>
          <w:sz w:val="18"/>
          <w:szCs w:val="18"/>
        </w:rPr>
        <w:t xml:space="preserve">main_dataset.csv</w:t>
      </w:r>
      <w:r>
        <w:t xml:space="preserve"> with its original columns untouched, plus: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83"/>
        <w:gridCol w:w="6943"/>
      </w:tblGrid>
      <w:tr>
        <w:trPr>
          <w:tblHeader/>
        </w:trPr>
        <w:tc>
          <w:tcPr>
            <w:tcW w:type="dxa" w:w="2083"/>
            <w:shd w:fill="DEEAF6" w:val="clear"/>
            <w:tcMar>
              <w:top w:type="dxa" w:w="60"/>
              <w:left w:type="dxa" w:w="100"/>
              <w:bottom w:type="dxa" w:w="60"/>
              <w:right w:type="dxa" w:w="100"/>
            </w:tcMar>
          </w:tcPr>
          <w:p>
            <w:pPr>
              <w:spacing w:after="0"/>
            </w:pPr>
            <w:r>
              <w:rPr>
                <w:b/>
                <w:bCs/>
              </w:rPr>
              <w:t xml:space="preserve">Column</w:t>
            </w:r>
          </w:p>
        </w:tc>
        <w:tc>
          <w:tcPr>
            <w:tcW w:type="dxa" w:w="6943"/>
            <w:shd w:fill="DEEAF6" w:val="clear"/>
            <w:tcMar>
              <w:top w:type="dxa" w:w="60"/>
              <w:left w:type="dxa" w:w="100"/>
              <w:bottom w:type="dxa" w:w="60"/>
              <w:right w:type="dxa" w:w="100"/>
            </w:tcMar>
          </w:tcPr>
          <w:p>
            <w:pPr>
              <w:spacing w:after="0"/>
            </w:pPr>
            <w:r>
              <w:rPr>
                <w:b/>
                <w:bCs/>
              </w:rPr>
              <w:t xml:space="preserve">Meaning</w:t>
            </w:r>
          </w:p>
        </w:tc>
      </w:tr>
      <w:tr>
        <w:trPr>
          <w:tblHeader w:val="false"/>
        </w:trPr>
        <w:tc>
          <w:tcPr>
            <w:tcW w:type="dxa" w:w="2083"/>
            <w:tcMar>
              <w:top w:type="dxa" w:w="60"/>
              <w:left w:type="dxa" w:w="100"/>
              <w:bottom w:type="dxa" w:w="60"/>
              <w:right w:type="dxa" w:w="100"/>
            </w:tcMar>
          </w:tcPr>
          <w:p>
            <w:pPr>
              <w:spacing w:after="0"/>
            </w:pPr>
            <w:r>
              <w:rPr>
                <w:rFonts w:ascii="Consolas" w:cs="Consolas" w:eastAsia="Consolas" w:hAnsi="Consolas"/>
                <w:sz w:val="18"/>
                <w:szCs w:val="18"/>
              </w:rPr>
              <w:t xml:space="preserve">final_included</w:t>
            </w:r>
          </w:p>
        </w:tc>
        <w:tc>
          <w:tcPr>
            <w:tcW w:type="dxa" w:w="6943"/>
            <w:tcMar>
              <w:top w:type="dxa" w:w="60"/>
              <w:left w:type="dxa" w:w="100"/>
              <w:bottom w:type="dxa" w:w="60"/>
              <w:right w:type="dxa" w:w="100"/>
            </w:tcMar>
          </w:tcPr>
          <w:p>
            <w:pPr>
              <w:spacing w:after="0"/>
            </w:pPr>
            <w:r>
              <w:t xml:space="preserve">True if the row counts in the final ideal-student selection (differs from </w:t>
            </w:r>
            <w:r>
              <w:rPr>
                <w:rFonts w:ascii="Consolas" w:cs="Consolas" w:eastAsia="Consolas" w:hAnsi="Consolas"/>
                <w:sz w:val="18"/>
                <w:szCs w:val="18"/>
              </w:rPr>
              <w:t xml:space="preserve">ideal_student</w:t>
            </w:r>
            <w:r>
              <w:t xml:space="preserve"> only where an adjudication changed a choice)</w:t>
            </w:r>
          </w:p>
        </w:tc>
      </w:tr>
      <w:tr>
        <w:trPr>
          <w:tblHeader w:val="false"/>
        </w:trPr>
        <w:tc>
          <w:tcPr>
            <w:tcW w:type="dxa" w:w="2083"/>
            <w:tcMar>
              <w:top w:type="dxa" w:w="60"/>
              <w:left w:type="dxa" w:w="100"/>
              <w:bottom w:type="dxa" w:w="60"/>
              <w:right w:type="dxa" w:w="100"/>
            </w:tcMar>
          </w:tcPr>
          <w:p>
            <w:pPr>
              <w:spacing w:after="0"/>
            </w:pPr>
            <w:r>
              <w:rPr>
                <w:rFonts w:ascii="Consolas" w:cs="Consolas" w:eastAsia="Consolas" w:hAnsi="Consolas"/>
                <w:sz w:val="18"/>
                <w:szCs w:val="18"/>
              </w:rPr>
              <w:t xml:space="preserve">resolution_class</w:t>
            </w:r>
          </w:p>
        </w:tc>
        <w:tc>
          <w:tcPr>
            <w:tcW w:type="dxa" w:w="6943"/>
            <w:tcMar>
              <w:top w:type="dxa" w:w="60"/>
              <w:left w:type="dxa" w:w="100"/>
              <w:bottom w:type="dxa" w:w="60"/>
              <w:right w:type="dxa" w:w="100"/>
            </w:tcMar>
          </w:tcPr>
          <w:p>
            <w:pPr>
              <w:spacing w:after="0"/>
            </w:pPr>
            <w:r>
              <w:rPr>
                <w:rFonts w:ascii="Consolas" w:cs="Consolas" w:eastAsia="Consolas" w:hAnsi="Consolas"/>
                <w:sz w:val="18"/>
                <w:szCs w:val="18"/>
              </w:rPr>
              <w:t xml:space="preserve">none</w:t>
            </w:r>
            <w:r>
              <w:t xml:space="preserve"> / </w:t>
            </w:r>
            <w:r>
              <w:rPr>
                <w:rFonts w:ascii="Consolas" w:cs="Consolas" w:eastAsia="Consolas" w:hAnsi="Consolas"/>
                <w:sz w:val="18"/>
                <w:szCs w:val="18"/>
              </w:rPr>
              <w:t xml:space="preserve">R1a</w:t>
            </w:r>
            <w:r>
              <w:t xml:space="preserve"> (arithmetic rule) / </w:t>
            </w:r>
            <w:r>
              <w:rPr>
                <w:rFonts w:ascii="Consolas" w:cs="Consolas" w:eastAsia="Consolas" w:hAnsi="Consolas"/>
                <w:sz w:val="18"/>
                <w:szCs w:val="18"/>
              </w:rPr>
              <w:t xml:space="preserve">R2a</w:t>
            </w:r>
            <w:r>
              <w:t xml:space="preserve"> (cross-edition rule) / </w:t>
            </w:r>
            <w:r>
              <w:rPr>
                <w:rFonts w:ascii="Consolas" w:cs="Consolas" w:eastAsia="Consolas" w:hAnsi="Consolas"/>
                <w:sz w:val="18"/>
                <w:szCs w:val="18"/>
              </w:rPr>
              <w:t xml:space="preserve">R3</w:t>
            </w:r>
            <w:r>
              <w:t xml:space="preserve"> (adjudication)</w:t>
            </w:r>
          </w:p>
        </w:tc>
      </w:tr>
      <w:tr>
        <w:trPr>
          <w:tblHeader w:val="false"/>
        </w:trPr>
        <w:tc>
          <w:tcPr>
            <w:tcW w:type="dxa" w:w="2083"/>
            <w:tcMar>
              <w:top w:type="dxa" w:w="60"/>
              <w:left w:type="dxa" w:w="100"/>
              <w:bottom w:type="dxa" w:w="60"/>
              <w:right w:type="dxa" w:w="100"/>
            </w:tcMar>
          </w:tcPr>
          <w:p>
            <w:pPr>
              <w:spacing w:after="0"/>
            </w:pPr>
            <w:r>
              <w:rPr>
                <w:rFonts w:ascii="Consolas" w:cs="Consolas" w:eastAsia="Consolas" w:hAnsi="Consolas"/>
                <w:sz w:val="18"/>
                <w:szCs w:val="18"/>
              </w:rPr>
              <w:t xml:space="preserve">resolution_ref</w:t>
            </w:r>
          </w:p>
        </w:tc>
        <w:tc>
          <w:tcPr>
            <w:tcW w:type="dxa" w:w="6943"/>
            <w:tcMar>
              <w:top w:type="dxa" w:w="60"/>
              <w:left w:type="dxa" w:w="100"/>
              <w:bottom w:type="dxa" w:w="60"/>
              <w:right w:type="dxa" w:w="100"/>
            </w:tcMar>
          </w:tcPr>
          <w:p>
            <w:pPr>
              <w:spacing w:after="0"/>
            </w:pPr>
            <w:r>
              <w:t xml:space="preserve">the rule or register entry (e.g. </w:t>
            </w:r>
            <w:r>
              <w:rPr>
                <w:rFonts w:ascii="Consolas" w:cs="Consolas" w:eastAsia="Consolas" w:hAnsi="Consolas"/>
                <w:sz w:val="18"/>
                <w:szCs w:val="18"/>
              </w:rPr>
              <w:t xml:space="preserve">COM-2025-008</w:t>
            </w:r>
            <w:r>
              <w:t xml:space="preserve">) that applied</w:t>
            </w:r>
          </w:p>
        </w:tc>
      </w:tr>
      <w:tr>
        <w:trPr>
          <w:tblHeader w:val="false"/>
        </w:trPr>
        <w:tc>
          <w:tcPr>
            <w:tcW w:type="dxa" w:w="2083"/>
            <w:tcMar>
              <w:top w:type="dxa" w:w="60"/>
              <w:left w:type="dxa" w:w="100"/>
              <w:bottom w:type="dxa" w:w="60"/>
              <w:right w:type="dxa" w:w="100"/>
            </w:tcMar>
          </w:tcPr>
          <w:p>
            <w:pPr>
              <w:spacing w:after="0"/>
            </w:pPr>
            <w:r>
              <w:rPr>
                <w:rFonts w:ascii="Consolas" w:cs="Consolas" w:eastAsia="Consolas" w:hAnsi="Consolas"/>
                <w:sz w:val="18"/>
                <w:szCs w:val="18"/>
              </w:rPr>
              <w:t xml:space="preserve">final_note</w:t>
            </w:r>
          </w:p>
        </w:tc>
        <w:tc>
          <w:tcPr>
            <w:tcW w:type="dxa" w:w="6943"/>
            <w:tcMar>
              <w:top w:type="dxa" w:w="60"/>
              <w:left w:type="dxa" w:w="100"/>
              <w:bottom w:type="dxa" w:w="60"/>
              <w:right w:type="dxa" w:w="100"/>
            </w:tcMar>
          </w:tcPr>
          <w:p>
            <w:pPr>
              <w:spacing w:after="0"/>
            </w:pPr>
            <w:r>
              <w:t xml:space="preserve">explanation where the row's inclusion changed</w:t>
            </w:r>
          </w:p>
        </w:tc>
      </w:tr>
    </w:tbl>
    <w:p>
      <w:pPr>
        <w:spacing w:after="120"/>
      </w:pPr>
    </w:p>
    <w:p>
      <w:pPr>
        <w:pStyle w:val="Heading2"/>
        <w:spacing w:after="140" w:before="280"/>
      </w:pPr>
      <w:r>
        <w:t xml:space="preserve">6.5 </w:t>
      </w:r>
      <w:r>
        <w:rPr>
          <w:rFonts w:ascii="Consolas" w:cs="Consolas" w:eastAsia="Consolas" w:hAnsi="Consolas"/>
          <w:sz w:val="18"/>
          <w:szCs w:val="18"/>
        </w:rPr>
        <w:t xml:space="preserve">ideal_student_summary_final.csv</w:t>
      </w:r>
      <w:r>
        <w:t xml:space="preserve"> — the final roll-up</w:t>
      </w:r>
    </w:p>
    <w:p>
      <w:pPr>
        <w:spacing w:after="120"/>
        <w:jc w:val="both"/>
      </w:pPr>
      <w:r>
        <w:t xml:space="preserve">The summary table analysts should use. Adds to §6.2's columns: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385"/>
        <w:gridCol w:w="5641"/>
      </w:tblGrid>
      <w:tr>
        <w:trPr>
          <w:tblHeader/>
        </w:trPr>
        <w:tc>
          <w:tcPr>
            <w:tcW w:type="dxa" w:w="3385"/>
            <w:shd w:fill="DEEAF6" w:val="clear"/>
            <w:tcMar>
              <w:top w:type="dxa" w:w="60"/>
              <w:left w:type="dxa" w:w="100"/>
              <w:bottom w:type="dxa" w:w="60"/>
              <w:right w:type="dxa" w:w="100"/>
            </w:tcMar>
          </w:tcPr>
          <w:p>
            <w:pPr>
              <w:spacing w:after="0"/>
            </w:pPr>
            <w:r>
              <w:rPr>
                <w:b/>
                <w:bCs/>
              </w:rPr>
              <w:t xml:space="preserve">Column</w:t>
            </w:r>
          </w:p>
        </w:tc>
        <w:tc>
          <w:tcPr>
            <w:tcW w:type="dxa" w:w="5641"/>
            <w:shd w:fill="DEEAF6" w:val="clear"/>
            <w:tcMar>
              <w:top w:type="dxa" w:w="60"/>
              <w:left w:type="dxa" w:w="100"/>
              <w:bottom w:type="dxa" w:w="60"/>
              <w:right w:type="dxa" w:w="100"/>
            </w:tcMar>
          </w:tcPr>
          <w:p>
            <w:pPr>
              <w:spacing w:after="0"/>
            </w:pPr>
            <w:r>
              <w:rPr>
                <w:b/>
                <w:bCs/>
              </w:rPr>
              <w:t xml:space="preserve">Meaning</w:t>
            </w:r>
          </w:p>
        </w:tc>
      </w:tr>
      <w:tr>
        <w:trPr>
          <w:tblHeader w:val="false"/>
        </w:trPr>
        <w:tc>
          <w:tcPr>
            <w:tcW w:type="dxa" w:w="3385"/>
            <w:tcMar>
              <w:top w:type="dxa" w:w="60"/>
              <w:left w:type="dxa" w:w="100"/>
              <w:bottom w:type="dxa" w:w="60"/>
              <w:right w:type="dxa" w:w="100"/>
            </w:tcMar>
          </w:tcPr>
          <w:p>
            <w:pPr>
              <w:spacing w:after="0"/>
            </w:pPr>
            <w:r>
              <w:rPr>
                <w:rFonts w:ascii="Consolas" w:cs="Consolas" w:eastAsia="Consolas" w:hAnsi="Consolas"/>
                <w:sz w:val="18"/>
                <w:szCs w:val="18"/>
              </w:rPr>
              <w:t xml:space="preserve">final_credits</w:t>
            </w:r>
          </w:p>
        </w:tc>
        <w:tc>
          <w:tcPr>
            <w:tcW w:type="dxa" w:w="5641"/>
            <w:tcMar>
              <w:top w:type="dxa" w:w="60"/>
              <w:left w:type="dxa" w:w="100"/>
              <w:bottom w:type="dxa" w:w="60"/>
              <w:right w:type="dxa" w:w="100"/>
            </w:tcMar>
          </w:tcPr>
          <w:p>
            <w:pPr>
              <w:spacing w:after="0"/>
            </w:pPr>
            <w:r>
              <w:t xml:space="preserve">the resolved credit load for the year</w:t>
            </w:r>
          </w:p>
        </w:tc>
      </w:tr>
      <w:tr>
        <w:trPr>
          <w:tblHeader w:val="false"/>
        </w:trPr>
        <w:tc>
          <w:tcPr>
            <w:tcW w:type="dxa" w:w="3385"/>
            <w:tcMar>
              <w:top w:type="dxa" w:w="60"/>
              <w:left w:type="dxa" w:w="100"/>
              <w:bottom w:type="dxa" w:w="60"/>
              <w:right w:type="dxa" w:w="100"/>
            </w:tcMar>
          </w:tcPr>
          <w:p>
            <w:pPr>
              <w:spacing w:after="0"/>
            </w:pPr>
            <w:r>
              <w:rPr>
                <w:rFonts w:ascii="Consolas" w:cs="Consolas" w:eastAsia="Consolas" w:hAnsi="Consolas"/>
                <w:sz w:val="18"/>
                <w:szCs w:val="18"/>
              </w:rPr>
              <w:t xml:space="preserve">credits_stated_corrected</w:t>
            </w:r>
          </w:p>
        </w:tc>
        <w:tc>
          <w:tcPr>
            <w:tcW w:type="dxa" w:w="5641"/>
            <w:tcMar>
              <w:top w:type="dxa" w:w="60"/>
              <w:left w:type="dxa" w:w="100"/>
              <w:bottom w:type="dxa" w:w="60"/>
              <w:right w:type="dxa" w:w="100"/>
            </w:tcMar>
          </w:tcPr>
          <w:p>
            <w:pPr>
              <w:spacing w:after="0"/>
            </w:pPr>
            <w:r>
              <w:t xml:space="preserve">filled where a misprinted total was corrected by adjudication</w:t>
            </w:r>
          </w:p>
        </w:tc>
      </w:tr>
      <w:tr>
        <w:trPr>
          <w:tblHeader w:val="false"/>
        </w:trPr>
        <w:tc>
          <w:tcPr>
            <w:tcW w:type="dxa" w:w="3385"/>
            <w:tcMar>
              <w:top w:type="dxa" w:w="60"/>
              <w:left w:type="dxa" w:w="100"/>
              <w:bottom w:type="dxa" w:w="60"/>
              <w:right w:type="dxa" w:w="100"/>
            </w:tcMar>
          </w:tcPr>
          <w:p>
            <w:pPr>
              <w:spacing w:after="0"/>
            </w:pPr>
            <w:r>
              <w:rPr>
                <w:rFonts w:ascii="Consolas" w:cs="Consolas" w:eastAsia="Consolas" w:hAnsi="Consolas"/>
                <w:sz w:val="18"/>
                <w:szCs w:val="18"/>
              </w:rPr>
              <w:t xml:space="preserve">final_credit_status</w:t>
            </w:r>
          </w:p>
        </w:tc>
        <w:tc>
          <w:tcPr>
            <w:tcW w:type="dxa" w:w="5641"/>
            <w:tcMar>
              <w:top w:type="dxa" w:w="60"/>
              <w:left w:type="dxa" w:w="100"/>
              <w:bottom w:type="dxa" w:w="60"/>
              <w:right w:type="dxa" w:w="100"/>
            </w:tcMar>
          </w:tcPr>
          <w:p>
            <w:pPr>
              <w:spacing w:after="0"/>
            </w:pPr>
            <w:r>
              <w:rPr>
                <w:rFonts w:ascii="Consolas" w:cs="Consolas" w:eastAsia="Consolas" w:hAnsi="Consolas"/>
                <w:sz w:val="18"/>
                <w:szCs w:val="18"/>
              </w:rPr>
              <w:t xml:space="preserve">consistent</w:t>
            </w:r>
            <w:r>
              <w:t xml:space="preserve"> / </w:t>
            </w:r>
            <w:r>
              <w:rPr>
                <w:rFonts w:ascii="Consolas" w:cs="Consolas" w:eastAsia="Consolas" w:hAnsi="Consolas"/>
                <w:sz w:val="18"/>
                <w:szCs w:val="18"/>
              </w:rPr>
              <w:t xml:space="preserve">resolved_computed</w:t>
            </w:r>
            <w:r>
              <w:t xml:space="preserve"> / </w:t>
            </w:r>
            <w:r>
              <w:rPr>
                <w:rFonts w:ascii="Consolas" w:cs="Consolas" w:eastAsia="Consolas" w:hAnsi="Consolas"/>
                <w:sz w:val="18"/>
                <w:szCs w:val="18"/>
              </w:rPr>
              <w:t xml:space="preserve">resolved_manual</w:t>
            </w:r>
            <w:r>
              <w:t xml:space="preserve"> / </w:t>
            </w:r>
            <w:r>
              <w:rPr>
                <w:rFonts w:ascii="Consolas" w:cs="Consolas" w:eastAsia="Consolas" w:hAnsi="Consolas"/>
                <w:sz w:val="18"/>
                <w:szCs w:val="18"/>
              </w:rPr>
              <w:t xml:space="preserve">unresolved</w:t>
            </w:r>
            <w:r>
              <w:t xml:space="preserve"> / </w:t>
            </w:r>
            <w:r>
              <w:rPr>
                <w:rFonts w:ascii="Consolas" w:cs="Consolas" w:eastAsia="Consolas" w:hAnsi="Consolas"/>
                <w:sz w:val="18"/>
                <w:szCs w:val="18"/>
              </w:rPr>
              <w:t xml:space="preserve">no_anchor</w:t>
            </w:r>
            <w:r>
              <w:t xml:space="preserve"> (Science and Humanities majors — no per-year total exists to reconcile against)</w:t>
            </w:r>
          </w:p>
        </w:tc>
      </w:tr>
      <w:tr>
        <w:trPr>
          <w:tblHeader w:val="false"/>
        </w:trPr>
        <w:tc>
          <w:tcPr>
            <w:tcW w:type="dxa" w:w="3385"/>
            <w:tcMar>
              <w:top w:type="dxa" w:w="60"/>
              <w:left w:type="dxa" w:w="100"/>
              <w:bottom w:type="dxa" w:w="60"/>
              <w:right w:type="dxa" w:w="100"/>
            </w:tcMar>
          </w:tcPr>
          <w:p>
            <w:pPr>
              <w:spacing w:after="0"/>
            </w:pPr>
            <w:r>
              <w:rPr>
                <w:rFonts w:ascii="Consolas" w:cs="Consolas" w:eastAsia="Consolas" w:hAnsi="Consolas"/>
                <w:sz w:val="18"/>
                <w:szCs w:val="18"/>
              </w:rPr>
              <w:t xml:space="preserve">final_fee_zar</w:t>
            </w:r>
            <w:r>
              <w:t xml:space="preserve"> / </w:t>
            </w:r>
            <w:r>
              <w:rPr>
                <w:rFonts w:ascii="Consolas" w:cs="Consolas" w:eastAsia="Consolas" w:hAnsi="Consolas"/>
                <w:sz w:val="18"/>
                <w:szCs w:val="18"/>
              </w:rPr>
              <w:t xml:space="preserve">final_fee_status</w:t>
            </w:r>
          </w:p>
        </w:tc>
        <w:tc>
          <w:tcPr>
            <w:tcW w:type="dxa" w:w="5641"/>
            <w:tcMar>
              <w:top w:type="dxa" w:w="60"/>
              <w:left w:type="dxa" w:w="100"/>
              <w:bottom w:type="dxa" w:w="60"/>
              <w:right w:type="dxa" w:w="100"/>
            </w:tcMar>
          </w:tcPr>
          <w:p>
            <w:pPr>
              <w:spacing w:after="0"/>
            </w:pPr>
            <w:r>
              <w:t xml:space="preserve">resolved cost; </w:t>
            </w:r>
            <w:r>
              <w:rPr>
                <w:rFonts w:ascii="Consolas" w:cs="Consolas" w:eastAsia="Consolas" w:hAnsi="Consolas"/>
                <w:sz w:val="18"/>
                <w:szCs w:val="18"/>
              </w:rPr>
              <w:t xml:space="preserve">reconciled</w:t>
            </w:r>
            <w:r>
              <w:t xml:space="preserve"> / </w:t>
            </w:r>
            <w:r>
              <w:rPr>
                <w:rFonts w:ascii="Consolas" w:cs="Consolas" w:eastAsia="Consolas" w:hAnsi="Consolas"/>
                <w:sz w:val="18"/>
                <w:szCs w:val="18"/>
              </w:rPr>
              <w:t xml:space="preserve">published_divergent</w:t>
            </w:r>
            <w:r>
              <w:t xml:space="preserve"> / </w:t>
            </w:r>
            <w:r>
              <w:rPr>
                <w:rFonts w:ascii="Consolas" w:cs="Consolas" w:eastAsia="Consolas" w:hAnsi="Consolas"/>
                <w:sz w:val="18"/>
                <w:szCs w:val="18"/>
              </w:rPr>
              <w:t xml:space="preserve">no_published</w:t>
            </w:r>
          </w:p>
        </w:tc>
      </w:tr>
      <w:tr>
        <w:trPr>
          <w:tblHeader w:val="false"/>
        </w:trPr>
        <w:tc>
          <w:tcPr>
            <w:tcW w:type="dxa" w:w="3385"/>
            <w:tcMar>
              <w:top w:type="dxa" w:w="60"/>
              <w:left w:type="dxa" w:w="100"/>
              <w:bottom w:type="dxa" w:w="60"/>
              <w:right w:type="dxa" w:w="100"/>
            </w:tcMar>
          </w:tcPr>
          <w:p>
            <w:pPr>
              <w:spacing w:after="0"/>
            </w:pPr>
            <w:r>
              <w:rPr>
                <w:rFonts w:ascii="Consolas" w:cs="Consolas" w:eastAsia="Consolas" w:hAnsi="Consolas"/>
                <w:sz w:val="18"/>
                <w:szCs w:val="18"/>
              </w:rPr>
              <w:t xml:space="preserve">confidence</w:t>
            </w:r>
          </w:p>
        </w:tc>
        <w:tc>
          <w:tcPr>
            <w:tcW w:type="dxa" w:w="5641"/>
            <w:tcMar>
              <w:top w:type="dxa" w:w="60"/>
              <w:left w:type="dxa" w:w="100"/>
              <w:bottom w:type="dxa" w:w="60"/>
              <w:right w:type="dxa" w:w="100"/>
            </w:tcMar>
          </w:tcPr>
          <w:p>
            <w:pPr>
              <w:spacing w:after="0"/>
            </w:pPr>
            <w:r>
              <w:rPr>
                <w:rFonts w:ascii="Consolas" w:cs="Consolas" w:eastAsia="Consolas" w:hAnsi="Consolas"/>
                <w:sz w:val="18"/>
                <w:szCs w:val="18"/>
              </w:rPr>
              <w:t xml:space="preserve">high</w:t>
            </w:r>
            <w:r>
              <w:t xml:space="preserve"> (arithmetic or adjudicated) / </w:t>
            </w:r>
            <w:r>
              <w:rPr>
                <w:rFonts w:ascii="Consolas" w:cs="Consolas" w:eastAsia="Consolas" w:hAnsi="Consolas"/>
                <w:sz w:val="18"/>
                <w:szCs w:val="18"/>
              </w:rPr>
              <w:t xml:space="preserve">medium</w:t>
            </w:r>
            <w:r>
              <w:t xml:space="preserve"> (cross-edition) / </w:t>
            </w:r>
            <w:r>
              <w:rPr>
                <w:rFonts w:ascii="Consolas" w:cs="Consolas" w:eastAsia="Consolas" w:hAnsi="Consolas"/>
                <w:sz w:val="18"/>
                <w:szCs w:val="18"/>
              </w:rPr>
              <w:t xml:space="preserve">low</w:t>
            </w:r>
            <w:r>
              <w:t xml:space="preserve"> (default policy)</w:t>
            </w:r>
          </w:p>
        </w:tc>
      </w:tr>
      <w:tr>
        <w:trPr>
          <w:tblHeader w:val="false"/>
        </w:trPr>
        <w:tc>
          <w:tcPr>
            <w:tcW w:type="dxa" w:w="3385"/>
            <w:tcMar>
              <w:top w:type="dxa" w:w="60"/>
              <w:left w:type="dxa" w:w="100"/>
              <w:bottom w:type="dxa" w:w="60"/>
              <w:right w:type="dxa" w:w="100"/>
            </w:tcMar>
          </w:tcPr>
          <w:p>
            <w:pPr>
              <w:spacing w:after="0"/>
            </w:pPr>
            <w:r>
              <w:rPr>
                <w:rFonts w:ascii="Consolas" w:cs="Consolas" w:eastAsia="Consolas" w:hAnsi="Consolas"/>
                <w:sz w:val="18"/>
                <w:szCs w:val="18"/>
              </w:rPr>
              <w:t xml:space="preserve">resolution_rationale</w:t>
            </w:r>
          </w:p>
        </w:tc>
        <w:tc>
          <w:tcPr>
            <w:tcW w:type="dxa" w:w="5641"/>
            <w:tcMar>
              <w:top w:type="dxa" w:w="60"/>
              <w:left w:type="dxa" w:w="100"/>
              <w:bottom w:type="dxa" w:w="60"/>
              <w:right w:type="dxa" w:w="100"/>
            </w:tcMar>
          </w:tcPr>
          <w:p>
            <w:pPr>
              <w:spacing w:after="0"/>
            </w:pPr>
            <w:r>
              <w:t xml:space="preserve">the written justification, in full sentences</w:t>
            </w:r>
          </w:p>
        </w:tc>
      </w:tr>
    </w:tbl>
    <w:p>
      <w:pPr>
        <w:spacing w:after="120"/>
      </w:pPr>
    </w:p>
    <w:p>
      <w:pPr>
        <w:spacing w:after="120"/>
        <w:jc w:val="both"/>
      </w:pPr>
      <w:r>
        <w:t xml:space="preserve">How discrepancies are resolved — the rule order, the evidence each rule demands, and worked examples — is documented in FINAL-DATASET-METHOD.md. In short: printed arithmetic identities and corroborated cross-edition evidence resolve automatically; genuine ambiguities are adjudicated case-by-case in reviewable per-faculty registers (</w:t>
      </w:r>
      <w:r>
        <w:rPr>
          <w:rFonts w:ascii="Consolas" w:cs="Consolas" w:eastAsia="Consolas" w:hAnsi="Consolas"/>
          <w:sz w:val="18"/>
          <w:szCs w:val="18"/>
        </w:rPr>
        <w:t xml:space="preserve">resolutions/&lt;faculty&gt;.csv</w:t>
      </w:r>
      <w:r>
        <w:t xml:space="preserve"> — Commerce's is the only seeded one so far) with rationale and page evidence; everything else is flagged </w:t>
      </w:r>
      <w:r>
        <w:rPr>
          <w:rFonts w:ascii="Consolas" w:cs="Consolas" w:eastAsia="Consolas" w:hAnsi="Consolas"/>
          <w:sz w:val="18"/>
          <w:szCs w:val="18"/>
        </w:rPr>
        <w:t xml:space="preserve">unresolved</w:t>
      </w:r>
      <w:r>
        <w:t xml:space="preserve"> at </w:t>
      </w:r>
      <w:r>
        <w:rPr>
          <w:rFonts w:ascii="Consolas" w:cs="Consolas" w:eastAsia="Consolas" w:hAnsi="Consolas"/>
          <w:sz w:val="18"/>
          <w:szCs w:val="18"/>
        </w:rPr>
        <w:t xml:space="preserve">low</w:t>
      </w:r>
      <w:r>
        <w:t xml:space="preserve"> confidence rather than silently guessed.</w:t>
      </w:r>
    </w:p>
    <w:p>
      <w:pPr>
        <w:pStyle w:val="Heading1"/>
        <w:spacing w:after="160" w:before="360"/>
      </w:pPr>
      <w:r>
        <w:t xml:space="preserve">7. How the data is validated</w:t>
      </w:r>
    </w:p>
    <w:p>
      <w:pPr>
        <w:spacing w:after="120"/>
        <w:jc w:val="both"/>
      </w:pPr>
      <w:r>
        <w:t xml:space="preserve">Each specialisation-year is checked from two independent directions — a validation triangle — and, since the rules layer was added, each whole specialisation from a third:</w:t>
      </w:r>
    </w:p>
    <w:p>
      <w:pPr>
        <w:spacing w:after="0"/>
      </w:pPr>
      <w:r>
        <w:rPr>
          <w:rFonts w:ascii="Consolas" w:cs="Consolas" w:eastAsia="Consolas" w:hAnsi="Consolas"/>
          <w:sz w:val="17"/>
          <w:szCs w:val="17"/>
        </w:rPr>
        <w:t xml:space="preserve">   curriculum (courses + credits)  ×  course fees   →  computed year cost</w:t>
      </w:r>
    </w:p>
    <w:p>
      <w:pPr>
        <w:spacing w:after="0"/>
      </w:pPr>
      <w:r>
        <w:rPr>
          <w:rFonts w:ascii="Consolas" w:cs="Consolas" w:eastAsia="Consolas" w:hAnsi="Consolas"/>
          <w:sz w:val="17"/>
          <w:szCs w:val="17"/>
        </w:rPr>
        <w:t xml:space="preserve">        ↕ compared with                                  ↕ compared with</w:t>
      </w:r>
    </w:p>
    <w:p>
      <w:pPr>
        <w:spacing w:after="0"/>
      </w:pPr>
      <w:r>
        <w:rPr>
          <w:rFonts w:ascii="Consolas" w:cs="Consolas" w:eastAsia="Consolas" w:hAnsi="Consolas"/>
          <w:sz w:val="17"/>
          <w:szCs w:val="17"/>
        </w:rPr>
        <w:t xml:space="preserve">   the handbook's printed                       the fees book's published</w:t>
      </w:r>
    </w:p>
    <w:p>
      <w:pPr>
        <w:spacing w:after="0"/>
      </w:pPr>
      <w:r>
        <w:rPr>
          <w:rFonts w:ascii="Consolas" w:cs="Consolas" w:eastAsia="Consolas" w:hAnsi="Consolas"/>
          <w:sz w:val="17"/>
          <w:szCs w:val="17"/>
        </w:rPr>
        <w:t xml:space="preserve">   "Total credits per year"                     typical fee for that year</w:t>
      </w:r>
    </w:p>
    <w:p>
      <w:pPr>
        <w:spacing w:after="0"/>
      </w:pPr>
      <w:r>
        <w:rPr>
          <w:rFonts w:ascii="Consolas" w:cs="Consolas" w:eastAsia="Consolas" w:hAnsi="Consolas"/>
          <w:sz w:val="17"/>
          <w:szCs w:val="17"/>
        </w:rPr>
        <w:t xml:space="preserve">        ↕ and, summed across all study years, compared with</w:t>
      </w:r>
    </w:p>
    <w:p>
      <w:pPr>
        <w:spacing w:after="160"/>
      </w:pPr>
      <w:r>
        <w:rPr>
          <w:rFonts w:ascii="Consolas" w:cs="Consolas" w:eastAsia="Consolas" w:hAnsi="Consolas"/>
          <w:sz w:val="17"/>
          <w:szCs w:val="17"/>
        </w:rPr>
        <w:t xml:space="preserve">   the faculty rules' printed minimum credits for the whole degree</w:t>
      </w:r>
    </w:p>
    <w:p>
      <w:pPr>
        <w:spacing w:after="120"/>
        <w:jc w:val="both"/>
      </w:pPr>
      <w:r>
        <w:t xml:space="preserve">The third leg (</w:t>
      </w:r>
      <w:r>
        <w:rPr>
          <w:rFonts w:ascii="Consolas" w:cs="Consolas" w:eastAsia="Consolas" w:hAnsi="Consolas"/>
          <w:sz w:val="18"/>
          <w:szCs w:val="18"/>
        </w:rPr>
        <w:t xml:space="preserve">validation/degree_check_&lt;year&gt;.csv</w:t>
      </w:r>
      <w:r>
        <w:t xml:space="preserve">) catches what per-year checks cannot — a silently missing year-table, or a handbook whose own sections disagree. First-run examples: the graduate LLB sums to its printed 504-credit stream total exactly in all six editions; the 2026 Architectural Studies curriculum sums 56 credits below the faculty rule's 3-year minimum; the 2026 Property Studies stated minimum still says 452 while its own year tables sum to 411.</w:t>
      </w:r>
    </w:p>
    <w:p>
      <w:pPr>
        <w:spacing w:after="120"/>
        <w:jc w:val="both"/>
      </w:pPr>
      <w:r>
        <w:t xml:space="preserve">Results for the current load, after the final-clean layer (consistent / resolved / unresolved per faculty):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
        <w:gridCol w:w="1467"/>
        <w:gridCol w:w="1241"/>
        <w:gridCol w:w="1128"/>
        <w:gridCol w:w="1692"/>
        <w:gridCol w:w="3047"/>
      </w:tblGrid>
      <w:tr>
        <w:trPr>
          <w:tblHeader/>
        </w:trPr>
        <w:tc>
          <w:tcPr>
            <w:tcW w:type="dxa" w:w="451"/>
            <w:shd w:fill="DEEAF6" w:val="clear"/>
            <w:tcMar>
              <w:top w:type="dxa" w:w="60"/>
              <w:left w:type="dxa" w:w="100"/>
              <w:bottom w:type="dxa" w:w="60"/>
              <w:right w:type="dxa" w:w="100"/>
            </w:tcMar>
          </w:tcPr>
          <w:p>
            <w:pPr>
              <w:spacing w:after="0"/>
            </w:pPr>
            <w:r>
              <w:rPr>
                <w:b/>
                <w:bCs/>
              </w:rPr>
              <w:t xml:space="preserve">Year</w:t>
            </w:r>
          </w:p>
        </w:tc>
        <w:tc>
          <w:tcPr>
            <w:tcW w:type="dxa" w:w="1467"/>
            <w:shd w:fill="DEEAF6" w:val="clear"/>
            <w:tcMar>
              <w:top w:type="dxa" w:w="60"/>
              <w:left w:type="dxa" w:w="100"/>
              <w:bottom w:type="dxa" w:w="60"/>
              <w:right w:type="dxa" w:w="100"/>
            </w:tcMar>
          </w:tcPr>
          <w:p>
            <w:pPr>
              <w:spacing w:after="0"/>
            </w:pPr>
            <w:r>
              <w:rPr>
                <w:b/>
                <w:bCs/>
              </w:rPr>
              <w:t xml:space="preserve">Commerce</w:t>
            </w:r>
          </w:p>
        </w:tc>
        <w:tc>
          <w:tcPr>
            <w:tcW w:type="dxa" w:w="1241"/>
            <w:shd w:fill="DEEAF6" w:val="clear"/>
            <w:tcMar>
              <w:top w:type="dxa" w:w="60"/>
              <w:left w:type="dxa" w:w="100"/>
              <w:bottom w:type="dxa" w:w="60"/>
              <w:right w:type="dxa" w:w="100"/>
            </w:tcMar>
          </w:tcPr>
          <w:p>
            <w:pPr>
              <w:spacing w:after="0"/>
            </w:pPr>
            <w:r>
              <w:rPr>
                <w:b/>
                <w:bCs/>
              </w:rPr>
              <w:t xml:space="preserve">EBE</w:t>
            </w:r>
          </w:p>
        </w:tc>
        <w:tc>
          <w:tcPr>
            <w:tcW w:type="dxa" w:w="1128"/>
            <w:shd w:fill="DEEAF6" w:val="clear"/>
            <w:tcMar>
              <w:top w:type="dxa" w:w="60"/>
              <w:left w:type="dxa" w:w="100"/>
              <w:bottom w:type="dxa" w:w="60"/>
              <w:right w:type="dxa" w:w="100"/>
            </w:tcMar>
          </w:tcPr>
          <w:p>
            <w:pPr>
              <w:spacing w:after="0"/>
            </w:pPr>
            <w:r>
              <w:rPr>
                <w:b/>
                <w:bCs/>
              </w:rPr>
              <w:t xml:space="preserve">Law</w:t>
            </w:r>
          </w:p>
        </w:tc>
        <w:tc>
          <w:tcPr>
            <w:tcW w:type="dxa" w:w="1692"/>
            <w:shd w:fill="DEEAF6" w:val="clear"/>
            <w:tcMar>
              <w:top w:type="dxa" w:w="60"/>
              <w:left w:type="dxa" w:w="100"/>
              <w:bottom w:type="dxa" w:w="60"/>
              <w:right w:type="dxa" w:w="100"/>
            </w:tcMar>
          </w:tcPr>
          <w:p>
            <w:pPr>
              <w:spacing w:after="0"/>
            </w:pPr>
            <w:r>
              <w:rPr>
                <w:b/>
                <w:bCs/>
              </w:rPr>
              <w:t xml:space="preserve">Health Sciences</w:t>
            </w:r>
          </w:p>
        </w:tc>
        <w:tc>
          <w:tcPr>
            <w:tcW w:type="dxa" w:w="3047"/>
            <w:shd w:fill="DEEAF6" w:val="clear"/>
            <w:tcMar>
              <w:top w:type="dxa" w:w="60"/>
              <w:left w:type="dxa" w:w="100"/>
              <w:bottom w:type="dxa" w:w="60"/>
              <w:right w:type="dxa" w:w="100"/>
            </w:tcMar>
          </w:tcPr>
          <w:p>
            <w:pPr>
              <w:spacing w:after="0"/>
            </w:pPr>
            <w:r>
              <w:rPr>
                <w:b/>
                <w:bCs/>
              </w:rPr>
              <w:t xml:space="preserve">Science / Humanities majors</w:t>
            </w:r>
          </w:p>
        </w:tc>
      </w:tr>
      <w:tr>
        <w:trPr>
          <w:tblHeader w:val="false"/>
        </w:trPr>
        <w:tc>
          <w:tcPr>
            <w:tcW w:type="dxa" w:w="451"/>
            <w:tcMar>
              <w:top w:type="dxa" w:w="60"/>
              <w:left w:type="dxa" w:w="100"/>
              <w:bottom w:type="dxa" w:w="60"/>
              <w:right w:type="dxa" w:w="100"/>
            </w:tcMar>
          </w:tcPr>
          <w:p>
            <w:pPr>
              <w:spacing w:after="0"/>
            </w:pPr>
            <w:r>
              <w:t xml:space="preserve">2021</w:t>
            </w:r>
          </w:p>
        </w:tc>
        <w:tc>
          <w:tcPr>
            <w:tcW w:type="dxa" w:w="1467"/>
            <w:tcMar>
              <w:top w:type="dxa" w:w="60"/>
              <w:left w:type="dxa" w:w="100"/>
              <w:bottom w:type="dxa" w:w="60"/>
              <w:right w:type="dxa" w:w="100"/>
            </w:tcMar>
          </w:tcPr>
          <w:p>
            <w:pPr>
              <w:spacing w:after="0"/>
            </w:pPr>
            <w:r>
              <w:t xml:space="preserve">227 / 17 / 30</w:t>
            </w:r>
          </w:p>
        </w:tc>
        <w:tc>
          <w:tcPr>
            <w:tcW w:type="dxa" w:w="1241"/>
            <w:tcMar>
              <w:top w:type="dxa" w:w="60"/>
              <w:left w:type="dxa" w:w="100"/>
              <w:bottom w:type="dxa" w:w="60"/>
              <w:right w:type="dxa" w:w="100"/>
            </w:tcMar>
          </w:tcPr>
          <w:p>
            <w:pPr>
              <w:spacing w:after="0"/>
            </w:pPr>
            <w:r>
              <w:t xml:space="preserve">85 / 0 / 5</w:t>
            </w:r>
          </w:p>
        </w:tc>
        <w:tc>
          <w:tcPr>
            <w:tcW w:type="dxa" w:w="1128"/>
            <w:tcMar>
              <w:top w:type="dxa" w:w="60"/>
              <w:left w:type="dxa" w:w="100"/>
              <w:bottom w:type="dxa" w:w="60"/>
              <w:right w:type="dxa" w:w="100"/>
            </w:tcMar>
          </w:tcPr>
          <w:p>
            <w:pPr>
              <w:spacing w:after="0"/>
            </w:pPr>
            <w:r>
              <w:t xml:space="preserve">11 / 0 / 1</w:t>
            </w:r>
          </w:p>
        </w:tc>
        <w:tc>
          <w:tcPr>
            <w:tcW w:type="dxa" w:w="1692"/>
            <w:tcMar>
              <w:top w:type="dxa" w:w="60"/>
              <w:left w:type="dxa" w:w="100"/>
              <w:bottom w:type="dxa" w:w="60"/>
              <w:right w:type="dxa" w:w="100"/>
            </w:tcMar>
          </w:tcPr>
          <w:p>
            <w:pPr>
              <w:spacing w:after="0"/>
            </w:pPr>
            <w:r>
              <w:t xml:space="preserve">7 / 0 / 12</w:t>
            </w:r>
          </w:p>
        </w:tc>
        <w:tc>
          <w:tcPr>
            <w:tcW w:type="dxa" w:w="3047"/>
            <w:tcMar>
              <w:top w:type="dxa" w:w="60"/>
              <w:left w:type="dxa" w:w="100"/>
              <w:bottom w:type="dxa" w:w="60"/>
              <w:right w:type="dxa" w:w="100"/>
            </w:tcMar>
          </w:tcPr>
          <w:p>
            <w:pPr>
              <w:spacing w:after="0"/>
            </w:pPr>
            <w:r>
              <w:t xml:space="preserve">155 no-anchor</w:t>
            </w:r>
          </w:p>
        </w:tc>
      </w:tr>
      <w:tr>
        <w:trPr>
          <w:tblHeader w:val="false"/>
        </w:trPr>
        <w:tc>
          <w:tcPr>
            <w:tcW w:type="dxa" w:w="451"/>
            <w:tcMar>
              <w:top w:type="dxa" w:w="60"/>
              <w:left w:type="dxa" w:w="100"/>
              <w:bottom w:type="dxa" w:w="60"/>
              <w:right w:type="dxa" w:w="100"/>
            </w:tcMar>
          </w:tcPr>
          <w:p>
            <w:pPr>
              <w:spacing w:after="0"/>
            </w:pPr>
            <w:r>
              <w:t xml:space="preserve">2022</w:t>
            </w:r>
          </w:p>
        </w:tc>
        <w:tc>
          <w:tcPr>
            <w:tcW w:type="dxa" w:w="1467"/>
            <w:tcMar>
              <w:top w:type="dxa" w:w="60"/>
              <w:left w:type="dxa" w:w="100"/>
              <w:bottom w:type="dxa" w:w="60"/>
              <w:right w:type="dxa" w:w="100"/>
            </w:tcMar>
          </w:tcPr>
          <w:p>
            <w:pPr>
              <w:spacing w:after="0"/>
            </w:pPr>
            <w:r>
              <w:t xml:space="preserve">240 / 11 / 24</w:t>
            </w:r>
          </w:p>
        </w:tc>
        <w:tc>
          <w:tcPr>
            <w:tcW w:type="dxa" w:w="1241"/>
            <w:tcMar>
              <w:top w:type="dxa" w:w="60"/>
              <w:left w:type="dxa" w:w="100"/>
              <w:bottom w:type="dxa" w:w="60"/>
              <w:right w:type="dxa" w:w="100"/>
            </w:tcMar>
          </w:tcPr>
          <w:p>
            <w:pPr>
              <w:spacing w:after="0"/>
            </w:pPr>
            <w:r>
              <w:t xml:space="preserve">86 / 0 / 4</w:t>
            </w:r>
          </w:p>
        </w:tc>
        <w:tc>
          <w:tcPr>
            <w:tcW w:type="dxa" w:w="1128"/>
            <w:tcMar>
              <w:top w:type="dxa" w:w="60"/>
              <w:left w:type="dxa" w:w="100"/>
              <w:bottom w:type="dxa" w:w="60"/>
              <w:right w:type="dxa" w:w="100"/>
            </w:tcMar>
          </w:tcPr>
          <w:p>
            <w:pPr>
              <w:spacing w:after="0"/>
            </w:pPr>
            <w:r>
              <w:t xml:space="preserve">11 / 0 / 1</w:t>
            </w:r>
          </w:p>
        </w:tc>
        <w:tc>
          <w:tcPr>
            <w:tcW w:type="dxa" w:w="1692"/>
            <w:tcMar>
              <w:top w:type="dxa" w:w="60"/>
              <w:left w:type="dxa" w:w="100"/>
              <w:bottom w:type="dxa" w:w="60"/>
              <w:right w:type="dxa" w:w="100"/>
            </w:tcMar>
          </w:tcPr>
          <w:p>
            <w:pPr>
              <w:spacing w:after="0"/>
            </w:pPr>
            <w:r>
              <w:t xml:space="preserve">8 / 0 / 11</w:t>
            </w:r>
          </w:p>
        </w:tc>
        <w:tc>
          <w:tcPr>
            <w:tcW w:type="dxa" w:w="3047"/>
            <w:tcMar>
              <w:top w:type="dxa" w:w="60"/>
              <w:left w:type="dxa" w:w="100"/>
              <w:bottom w:type="dxa" w:w="60"/>
              <w:right w:type="dxa" w:w="100"/>
            </w:tcMar>
          </w:tcPr>
          <w:p>
            <w:pPr>
              <w:spacing w:after="0"/>
            </w:pPr>
            <w:r>
              <w:t xml:space="preserve">154 no-anchor</w:t>
            </w:r>
          </w:p>
        </w:tc>
      </w:tr>
      <w:tr>
        <w:trPr>
          <w:tblHeader w:val="false"/>
        </w:trPr>
        <w:tc>
          <w:tcPr>
            <w:tcW w:type="dxa" w:w="451"/>
            <w:tcMar>
              <w:top w:type="dxa" w:w="60"/>
              <w:left w:type="dxa" w:w="100"/>
              <w:bottom w:type="dxa" w:w="60"/>
              <w:right w:type="dxa" w:w="100"/>
            </w:tcMar>
          </w:tcPr>
          <w:p>
            <w:pPr>
              <w:spacing w:after="0"/>
            </w:pPr>
            <w:r>
              <w:t xml:space="preserve">2023</w:t>
            </w:r>
          </w:p>
        </w:tc>
        <w:tc>
          <w:tcPr>
            <w:tcW w:type="dxa" w:w="1467"/>
            <w:tcMar>
              <w:top w:type="dxa" w:w="60"/>
              <w:left w:type="dxa" w:w="100"/>
              <w:bottom w:type="dxa" w:w="60"/>
              <w:right w:type="dxa" w:w="100"/>
            </w:tcMar>
          </w:tcPr>
          <w:p>
            <w:pPr>
              <w:spacing w:after="0"/>
            </w:pPr>
            <w:r>
              <w:t xml:space="preserve">225 / 15 / 36</w:t>
            </w:r>
          </w:p>
        </w:tc>
        <w:tc>
          <w:tcPr>
            <w:tcW w:type="dxa" w:w="1241"/>
            <w:tcMar>
              <w:top w:type="dxa" w:w="60"/>
              <w:left w:type="dxa" w:w="100"/>
              <w:bottom w:type="dxa" w:w="60"/>
              <w:right w:type="dxa" w:w="100"/>
            </w:tcMar>
          </w:tcPr>
          <w:p>
            <w:pPr>
              <w:spacing w:after="0"/>
            </w:pPr>
            <w:r>
              <w:t xml:space="preserve">88 / 0 / 2</w:t>
            </w:r>
          </w:p>
        </w:tc>
        <w:tc>
          <w:tcPr>
            <w:tcW w:type="dxa" w:w="1128"/>
            <w:tcMar>
              <w:top w:type="dxa" w:w="60"/>
              <w:left w:type="dxa" w:w="100"/>
              <w:bottom w:type="dxa" w:w="60"/>
              <w:right w:type="dxa" w:w="100"/>
            </w:tcMar>
          </w:tcPr>
          <w:p>
            <w:pPr>
              <w:spacing w:after="0"/>
            </w:pPr>
            <w:r>
              <w:t xml:space="preserve">11 / 0 / 1</w:t>
            </w:r>
          </w:p>
        </w:tc>
        <w:tc>
          <w:tcPr>
            <w:tcW w:type="dxa" w:w="1692"/>
            <w:tcMar>
              <w:top w:type="dxa" w:w="60"/>
              <w:left w:type="dxa" w:w="100"/>
              <w:bottom w:type="dxa" w:w="60"/>
              <w:right w:type="dxa" w:w="100"/>
            </w:tcMar>
          </w:tcPr>
          <w:p>
            <w:pPr>
              <w:spacing w:after="0"/>
            </w:pPr>
            <w:r>
              <w:t xml:space="preserve">14 / 0 / 11</w:t>
            </w:r>
          </w:p>
        </w:tc>
        <w:tc>
          <w:tcPr>
            <w:tcW w:type="dxa" w:w="3047"/>
            <w:tcMar>
              <w:top w:type="dxa" w:w="60"/>
              <w:left w:type="dxa" w:w="100"/>
              <w:bottom w:type="dxa" w:w="60"/>
              <w:right w:type="dxa" w:w="100"/>
            </w:tcMar>
          </w:tcPr>
          <w:p>
            <w:pPr>
              <w:spacing w:after="0"/>
            </w:pPr>
            <w:r>
              <w:t xml:space="preserve">148 no-anchor</w:t>
            </w:r>
          </w:p>
        </w:tc>
      </w:tr>
      <w:tr>
        <w:trPr>
          <w:tblHeader w:val="false"/>
        </w:trPr>
        <w:tc>
          <w:tcPr>
            <w:tcW w:type="dxa" w:w="451"/>
            <w:tcMar>
              <w:top w:type="dxa" w:w="60"/>
              <w:left w:type="dxa" w:w="100"/>
              <w:bottom w:type="dxa" w:w="60"/>
              <w:right w:type="dxa" w:w="100"/>
            </w:tcMar>
          </w:tcPr>
          <w:p>
            <w:pPr>
              <w:spacing w:after="0"/>
            </w:pPr>
            <w:r>
              <w:t xml:space="preserve">2024</w:t>
            </w:r>
          </w:p>
        </w:tc>
        <w:tc>
          <w:tcPr>
            <w:tcW w:type="dxa" w:w="1467"/>
            <w:tcMar>
              <w:top w:type="dxa" w:w="60"/>
              <w:left w:type="dxa" w:w="100"/>
              <w:bottom w:type="dxa" w:w="60"/>
              <w:right w:type="dxa" w:w="100"/>
            </w:tcMar>
          </w:tcPr>
          <w:p>
            <w:pPr>
              <w:spacing w:after="0"/>
            </w:pPr>
            <w:r>
              <w:t xml:space="preserve">203 / 13 / 55</w:t>
            </w:r>
          </w:p>
        </w:tc>
        <w:tc>
          <w:tcPr>
            <w:tcW w:type="dxa" w:w="1241"/>
            <w:tcMar>
              <w:top w:type="dxa" w:w="60"/>
              <w:left w:type="dxa" w:w="100"/>
              <w:bottom w:type="dxa" w:w="60"/>
              <w:right w:type="dxa" w:w="100"/>
            </w:tcMar>
          </w:tcPr>
          <w:p>
            <w:pPr>
              <w:spacing w:after="0"/>
            </w:pPr>
            <w:r>
              <w:t xml:space="preserve">86 / 0 / 4</w:t>
            </w:r>
          </w:p>
        </w:tc>
        <w:tc>
          <w:tcPr>
            <w:tcW w:type="dxa" w:w="1128"/>
            <w:tcMar>
              <w:top w:type="dxa" w:w="60"/>
              <w:left w:type="dxa" w:w="100"/>
              <w:bottom w:type="dxa" w:w="60"/>
              <w:right w:type="dxa" w:w="100"/>
            </w:tcMar>
          </w:tcPr>
          <w:p>
            <w:pPr>
              <w:spacing w:after="0"/>
            </w:pPr>
            <w:r>
              <w:t xml:space="preserve">10 / 0 / 2</w:t>
            </w:r>
          </w:p>
        </w:tc>
        <w:tc>
          <w:tcPr>
            <w:tcW w:type="dxa" w:w="1692"/>
            <w:tcMar>
              <w:top w:type="dxa" w:w="60"/>
              <w:left w:type="dxa" w:w="100"/>
              <w:bottom w:type="dxa" w:w="60"/>
              <w:right w:type="dxa" w:w="100"/>
            </w:tcMar>
          </w:tcPr>
          <w:p>
            <w:pPr>
              <w:spacing w:after="0"/>
            </w:pPr>
            <w:r>
              <w:t xml:space="preserve">14 / 0 / 11</w:t>
            </w:r>
          </w:p>
        </w:tc>
        <w:tc>
          <w:tcPr>
            <w:tcW w:type="dxa" w:w="3047"/>
            <w:tcMar>
              <w:top w:type="dxa" w:w="60"/>
              <w:left w:type="dxa" w:w="100"/>
              <w:bottom w:type="dxa" w:w="60"/>
              <w:right w:type="dxa" w:w="100"/>
            </w:tcMar>
          </w:tcPr>
          <w:p>
            <w:pPr>
              <w:spacing w:after="0"/>
            </w:pPr>
            <w:r>
              <w:t xml:space="preserve">154 no-anchor</w:t>
            </w:r>
          </w:p>
        </w:tc>
      </w:tr>
      <w:tr>
        <w:trPr>
          <w:tblHeader w:val="false"/>
        </w:trPr>
        <w:tc>
          <w:tcPr>
            <w:tcW w:type="dxa" w:w="451"/>
            <w:tcMar>
              <w:top w:type="dxa" w:w="60"/>
              <w:left w:type="dxa" w:w="100"/>
              <w:bottom w:type="dxa" w:w="60"/>
              <w:right w:type="dxa" w:w="100"/>
            </w:tcMar>
          </w:tcPr>
          <w:p>
            <w:pPr>
              <w:spacing w:after="0"/>
            </w:pPr>
            <w:r>
              <w:t xml:space="preserve">2025</w:t>
            </w:r>
          </w:p>
        </w:tc>
        <w:tc>
          <w:tcPr>
            <w:tcW w:type="dxa" w:w="1467"/>
            <w:tcMar>
              <w:top w:type="dxa" w:w="60"/>
              <w:left w:type="dxa" w:w="100"/>
              <w:bottom w:type="dxa" w:w="60"/>
              <w:right w:type="dxa" w:w="100"/>
            </w:tcMar>
          </w:tcPr>
          <w:p>
            <w:pPr>
              <w:spacing w:after="0"/>
            </w:pPr>
            <w:r>
              <w:t xml:space="preserve">219 / 13 / 36</w:t>
            </w:r>
          </w:p>
        </w:tc>
        <w:tc>
          <w:tcPr>
            <w:tcW w:type="dxa" w:w="1241"/>
            <w:tcMar>
              <w:top w:type="dxa" w:w="60"/>
              <w:left w:type="dxa" w:w="100"/>
              <w:bottom w:type="dxa" w:w="60"/>
              <w:right w:type="dxa" w:w="100"/>
            </w:tcMar>
          </w:tcPr>
          <w:p>
            <w:pPr>
              <w:spacing w:after="0"/>
            </w:pPr>
            <w:r>
              <w:t xml:space="preserve">84 / 0 / 6</w:t>
            </w:r>
          </w:p>
        </w:tc>
        <w:tc>
          <w:tcPr>
            <w:tcW w:type="dxa" w:w="1128"/>
            <w:tcMar>
              <w:top w:type="dxa" w:w="60"/>
              <w:left w:type="dxa" w:w="100"/>
              <w:bottom w:type="dxa" w:w="60"/>
              <w:right w:type="dxa" w:w="100"/>
            </w:tcMar>
          </w:tcPr>
          <w:p>
            <w:pPr>
              <w:spacing w:after="0"/>
            </w:pPr>
            <w:r>
              <w:t xml:space="preserve">10 / 0 / 2</w:t>
            </w:r>
          </w:p>
        </w:tc>
        <w:tc>
          <w:tcPr>
            <w:tcW w:type="dxa" w:w="1692"/>
            <w:tcMar>
              <w:top w:type="dxa" w:w="60"/>
              <w:left w:type="dxa" w:w="100"/>
              <w:bottom w:type="dxa" w:w="60"/>
              <w:right w:type="dxa" w:w="100"/>
            </w:tcMar>
          </w:tcPr>
          <w:p>
            <w:pPr>
              <w:spacing w:after="0"/>
            </w:pPr>
            <w:r>
              <w:t xml:space="preserve">11 / 0 / 12</w:t>
            </w:r>
          </w:p>
        </w:tc>
        <w:tc>
          <w:tcPr>
            <w:tcW w:type="dxa" w:w="3047"/>
            <w:tcMar>
              <w:top w:type="dxa" w:w="60"/>
              <w:left w:type="dxa" w:w="100"/>
              <w:bottom w:type="dxa" w:w="60"/>
              <w:right w:type="dxa" w:w="100"/>
            </w:tcMar>
          </w:tcPr>
          <w:p>
            <w:pPr>
              <w:spacing w:after="0"/>
            </w:pPr>
            <w:r>
              <w:t xml:space="preserve">157 no-anchor</w:t>
            </w:r>
          </w:p>
        </w:tc>
      </w:tr>
      <w:tr>
        <w:trPr>
          <w:tblHeader w:val="false"/>
        </w:trPr>
        <w:tc>
          <w:tcPr>
            <w:tcW w:type="dxa" w:w="451"/>
            <w:tcMar>
              <w:top w:type="dxa" w:w="60"/>
              <w:left w:type="dxa" w:w="100"/>
              <w:bottom w:type="dxa" w:w="60"/>
              <w:right w:type="dxa" w:w="100"/>
            </w:tcMar>
          </w:tcPr>
          <w:p>
            <w:pPr>
              <w:spacing w:after="0"/>
            </w:pPr>
            <w:r>
              <w:t xml:space="preserve">2026</w:t>
            </w:r>
          </w:p>
        </w:tc>
        <w:tc>
          <w:tcPr>
            <w:tcW w:type="dxa" w:w="1467"/>
            <w:tcMar>
              <w:top w:type="dxa" w:w="60"/>
              <w:left w:type="dxa" w:w="100"/>
              <w:bottom w:type="dxa" w:w="60"/>
              <w:right w:type="dxa" w:w="100"/>
            </w:tcMar>
          </w:tcPr>
          <w:p>
            <w:pPr>
              <w:spacing w:after="0"/>
            </w:pPr>
            <w:r>
              <w:t xml:space="preserve">202 / 11 / 48</w:t>
            </w:r>
          </w:p>
        </w:tc>
        <w:tc>
          <w:tcPr>
            <w:tcW w:type="dxa" w:w="1241"/>
            <w:tcMar>
              <w:top w:type="dxa" w:w="60"/>
              <w:left w:type="dxa" w:w="100"/>
              <w:bottom w:type="dxa" w:w="60"/>
              <w:right w:type="dxa" w:w="100"/>
            </w:tcMar>
          </w:tcPr>
          <w:p>
            <w:pPr>
              <w:spacing w:after="0"/>
            </w:pPr>
            <w:r>
              <w:t xml:space="preserve">80 / 0 / 10</w:t>
            </w:r>
          </w:p>
        </w:tc>
        <w:tc>
          <w:tcPr>
            <w:tcW w:type="dxa" w:w="1128"/>
            <w:tcMar>
              <w:top w:type="dxa" w:w="60"/>
              <w:left w:type="dxa" w:w="100"/>
              <w:bottom w:type="dxa" w:w="60"/>
              <w:right w:type="dxa" w:w="100"/>
            </w:tcMar>
          </w:tcPr>
          <w:p>
            <w:pPr>
              <w:spacing w:after="0"/>
            </w:pPr>
            <w:r>
              <w:t xml:space="preserve">7 / 0 / 0</w:t>
            </w:r>
          </w:p>
        </w:tc>
        <w:tc>
          <w:tcPr>
            <w:tcW w:type="dxa" w:w="1692"/>
            <w:tcMar>
              <w:top w:type="dxa" w:w="60"/>
              <w:left w:type="dxa" w:w="100"/>
              <w:bottom w:type="dxa" w:w="60"/>
              <w:right w:type="dxa" w:w="100"/>
            </w:tcMar>
          </w:tcPr>
          <w:p>
            <w:pPr>
              <w:spacing w:after="0"/>
            </w:pPr>
            <w:r>
              <w:t xml:space="preserve">10 / 0 / 13</w:t>
            </w:r>
          </w:p>
        </w:tc>
        <w:tc>
          <w:tcPr>
            <w:tcW w:type="dxa" w:w="3047"/>
            <w:tcMar>
              <w:top w:type="dxa" w:w="60"/>
              <w:left w:type="dxa" w:w="100"/>
              <w:bottom w:type="dxa" w:w="60"/>
              <w:right w:type="dxa" w:w="100"/>
            </w:tcMar>
          </w:tcPr>
          <w:p>
            <w:pPr>
              <w:spacing w:after="0"/>
            </w:pPr>
            <w:r>
              <w:t xml:space="preserve">153 no-anchor</w:t>
            </w:r>
          </w:p>
        </w:tc>
      </w:tr>
    </w:tbl>
    <w:p>
      <w:pPr>
        <w:spacing w:after="120"/>
      </w:pPr>
    </w:p>
    <w:p>
      <w:pPr>
        <w:spacing w:after="120"/>
        <w:jc w:val="both"/>
      </w:pPr>
      <w:r>
        <w:t xml:space="preserve">Of the 2,366 specialisation-years that have a printed per-year anchor, 86% are consistent or resolved at high or medium confidence; the 921 Science and Humanities major-years carry </w:t>
      </w:r>
      <w:r>
        <w:rPr>
          <w:rFonts w:ascii="Consolas" w:cs="Consolas" w:eastAsia="Consolas" w:hAnsi="Consolas"/>
          <w:sz w:val="18"/>
          <w:szCs w:val="18"/>
        </w:rPr>
        <w:t xml:space="preserve">no_anchor</w:t>
      </w:r>
      <w:r>
        <w:t xml:space="preserve"> — the handbooks print no per-year totals for majors, so there is nothing to reconcile against (caveat 8). The unresolved remainder carries the computed value at low confidence and is individually listed, with suggested actions, in </w:t>
      </w:r>
      <w:r>
        <w:rPr>
          <w:rFonts w:ascii="Consolas" w:cs="Consolas" w:eastAsia="Consolas" w:hAnsi="Consolas"/>
          <w:sz w:val="18"/>
          <w:szCs w:val="18"/>
        </w:rPr>
        <w:t xml:space="preserve">validation/pending_adjudication_&lt;year&gt;.csv</w:t>
      </w:r>
      <w:r>
        <w:t xml:space="preserve">. Commerce's register has been provisionally seeded; the EBE, Law and Health Sciences adjudication passes have not yet been done — though the August 2026 parser refinements resolved most of what those passes had queued (EBE's unresolved count fell from 185 to 31 once its elective-menu sections parsed correctly; Law's legacy five-year stream turned out to print totals in an unrecognised wording and now reconciles to its printed 660-credit stream total). Health Sciences' unresolved rows are dominated by the combined Audiology / Speech-Language Pathology block, whose interleaved curricula await a dedicated splitter. Highlights: the MBChB reconciles all six years exactly, with years 1–3 computed fees matching the published figures to the rand; Law's graduate-stream first-year cost likewise matches to the rand.</w:t>
      </w:r>
    </w:p>
    <w:p>
      <w:pPr>
        <w:spacing w:after="120"/>
        <w:jc w:val="both"/>
      </w:pPr>
      <w:r>
        <w:t xml:space="preserve">Where computed fees can be compared with published fees, the </w:t>
      </w:r>
      <w:r>
        <w:rPr>
          <w:b/>
          <w:bCs/>
        </w:rPr>
        <w:t xml:space="preserve">median difference is 0.0%</w:t>
      </w:r>
      <w:r>
        <w:t xml:space="preserve"> — for most programmes the computation reproduces UCT's own published figure to the rand.</w:t>
      </w:r>
    </w:p>
    <w:p>
      <w:pPr>
        <w:spacing w:after="120"/>
        <w:jc w:val="both"/>
      </w:pPr>
      <w:r>
        <w:rPr>
          <w:b/>
          <w:bCs/>
        </w:rPr>
        <w:t xml:space="preserve">A "mismatch" is a finding, not an error.</w:t>
      </w:r>
      <w:r>
        <w:t xml:space="preserve"> Every one is listed, with page references, in the </w:t>
      </w:r>
      <w:r>
        <w:rPr>
          <w:rFonts w:ascii="Consolas" w:cs="Consolas" w:eastAsia="Consolas" w:hAnsi="Consolas"/>
          <w:sz w:val="18"/>
          <w:szCs w:val="18"/>
        </w:rPr>
        <w:t xml:space="preserve">validation/</w:t>
      </w:r>
      <w:r>
        <w:t xml:space="preserve"> reports (</w:t>
      </w:r>
      <w:r>
        <w:rPr>
          <w:rFonts w:ascii="Consolas" w:cs="Consolas" w:eastAsia="Consolas" w:hAnsi="Consolas"/>
          <w:sz w:val="18"/>
          <w:szCs w:val="18"/>
        </w:rPr>
        <w:t xml:space="preserve">credit_check_&lt;year&gt;.csv</w:t>
      </w:r>
      <w:r>
        <w:t xml:space="preserve">, </w:t>
      </w:r>
      <w:r>
        <w:rPr>
          <w:rFonts w:ascii="Consolas" w:cs="Consolas" w:eastAsia="Consolas" w:hAnsi="Consolas"/>
          <w:sz w:val="18"/>
          <w:szCs w:val="18"/>
        </w:rPr>
        <w:t xml:space="preserve">fee_check_&lt;year&gt;.csv</w:t>
      </w:r>
      <w:r>
        <w:t xml:space="preserve">). On inspection, most mismatches are defects or ambiguities in the handbooks themselves, which the dataset deliberately preserves and surfaces rather than papering over. Real examples:</w:t>
      </w:r>
    </w:p>
    <w:p>
      <w:pPr>
        <w:pStyle w:val="ListParagraph"/>
        <w:numPr>
          <w:ilvl w:val="0"/>
          <w:numId w:val="3"/>
        </w:numPr>
        <w:spacing w:after="80"/>
      </w:pPr>
      <w:r>
        <w:t xml:space="preserve">a printed year total of </w:t>
      </w:r>
      <w:r>
        <w:rPr>
          <w:b/>
          <w:bCs/>
        </w:rPr>
        <w:t xml:space="preserve">382</w:t>
      </w:r>
      <w:r>
        <w:t xml:space="preserve"> credits where the table sums to 182 (2025, CB025BUS09 year 1 — a misprint);</w:t>
      </w:r>
    </w:p>
    <w:p>
      <w:pPr>
        <w:pStyle w:val="ListParagraph"/>
        <w:numPr>
          <w:ilvl w:val="0"/>
          <w:numId w:val="3"/>
        </w:numPr>
        <w:spacing w:after="80"/>
      </w:pPr>
      <w:r>
        <w:t xml:space="preserve">year totals that </w:t>
      </w:r>
      <w:r>
        <w:rPr>
          <w:b/>
          <w:bCs/>
        </w:rPr>
        <w:t xml:space="preserve">count both branches of an either/or choice</w:t>
      </w:r>
      <w:r>
        <w:t xml:space="preserve"> (2025, CB001INF01 year 1: rows sum to 150 taking one branch, 168 taking both; the printed total is 168);</w:t>
      </w:r>
    </w:p>
    <w:p>
      <w:pPr>
        <w:pStyle w:val="ListParagraph"/>
        <w:numPr>
          <w:ilvl w:val="0"/>
          <w:numId w:val="3"/>
        </w:numPr>
        <w:spacing w:after="80"/>
      </w:pPr>
      <w:r>
        <w:t xml:space="preserve">final-year course menus whose </w:t>
      </w:r>
      <w:r>
        <w:rPr>
          <w:b/>
          <w:bCs/>
        </w:rPr>
        <w:t xml:space="preserve">selection rule is missing from the page</w:t>
      </w:r>
      <w:r>
        <w:t xml:space="preserve"> (the Computer Science stream's 4th-year module list in the 2023 and 2025 editions — the 2022/2024/2026 editions print "required to take two options", and the register cites them as cross-edition evidence; the faculty-rules sections never state the rule in any edition);</w:t>
      </w:r>
    </w:p>
    <w:p>
      <w:pPr>
        <w:pStyle w:val="ListParagraph"/>
        <w:numPr>
          <w:ilvl w:val="0"/>
          <w:numId w:val="3"/>
        </w:numPr>
        <w:spacing w:after="80"/>
      </w:pPr>
      <w:r>
        <w:t xml:space="preserve">a stated total </w:t>
      </w:r>
      <w:r>
        <w:rPr>
          <w:b/>
          <w:bCs/>
        </w:rPr>
        <w:t xml:space="preserve">excluding a course that is listed</w:t>
      </w:r>
      <w:r>
        <w:t xml:space="preserve"> in the same table (CB011ACC08 year 2).</w:t>
      </w:r>
    </w:p>
    <w:p>
      <w:pPr>
        <w:spacing w:after="40"/>
      </w:pPr>
    </w:p>
    <w:p>
      <w:pPr>
        <w:spacing w:after="120"/>
        <w:jc w:val="both"/>
      </w:pPr>
      <w:r>
        <w:t xml:space="preserve">These lists are themselves a useful review product: they show where the published handbooks would benefit from editorial correction.</w:t>
      </w:r>
    </w:p>
    <w:p>
      <w:pPr>
        <w:pStyle w:val="Heading1"/>
        <w:spacing w:after="160" w:before="360"/>
      </w:pPr>
      <w:r>
        <w:t xml:space="preserve">8. Caveats and limitations</w:t>
      </w:r>
    </w:p>
    <w:p>
      <w:pPr>
        <w:pStyle w:val="ListParagraph"/>
        <w:numPr>
          <w:ilvl w:val="0"/>
          <w:numId w:val="2"/>
        </w:numPr>
        <w:spacing w:after="80"/>
      </w:pPr>
      <w:r>
        <w:rPr>
          <w:b/>
          <w:bCs/>
        </w:rPr>
        <w:t xml:space="preserve">Elective costs are estimates.</w:t>
      </w:r>
      <w:r>
        <w:t xml:space="preserve"> Slots naming no course are priced at a credit-scaled median (§5). The estimated component is always reported separately (</w:t>
      </w:r>
      <w:r>
        <w:rPr>
          <w:rFonts w:ascii="Consolas" w:cs="Consolas" w:eastAsia="Consolas" w:hAnsi="Consolas"/>
          <w:sz w:val="18"/>
          <w:szCs w:val="18"/>
        </w:rPr>
        <w:t xml:space="preserve">fee_estimated_component_zar</w:t>
      </w:r>
      <w:r>
        <w:t xml:space="preserve">), so it can be excluded from any analysis that requires exact figures.</w:t>
      </w:r>
    </w:p>
    <w:p>
      <w:pPr>
        <w:pStyle w:val="ListParagraph"/>
        <w:numPr>
          <w:ilvl w:val="0"/>
          <w:numId w:val="2"/>
        </w:numPr>
        <w:spacing w:after="80"/>
      </w:pPr>
      <w:r>
        <w:rPr>
          <w:b/>
          <w:bCs/>
        </w:rPr>
        <w:t xml:space="preserve">The ideal student is a convention.</w:t>
      </w:r>
      <w:r>
        <w:t xml:space="preserve"> "First-listed option" is a documented, consistent convention — not a claim about actual student behaviour. Because alternatives are retained, sensitivity checks are straightforward.</w:t>
      </w:r>
    </w:p>
    <w:p>
      <w:pPr>
        <w:pStyle w:val="ListParagraph"/>
        <w:numPr>
          <w:ilvl w:val="0"/>
          <w:numId w:val="2"/>
        </w:numPr>
        <w:spacing w:after="80"/>
      </w:pPr>
      <w:r>
        <w:rPr>
          <w:b/>
          <w:bCs/>
        </w:rPr>
        <w:t xml:space="preserve">Handbook defects are preserved.</w:t>
      </w:r>
      <w:r>
        <w:t xml:space="preserve"> Where the handbook's own numbers disagree, the dataset records what is printed and flags the disagreement (§7). Corrections are only applied through the documented overrides process (§10).</w:t>
      </w:r>
    </w:p>
    <w:p>
      <w:pPr>
        <w:pStyle w:val="ListParagraph"/>
        <w:numPr>
          <w:ilvl w:val="0"/>
          <w:numId w:val="2"/>
        </w:numPr>
        <w:spacing w:after="80"/>
      </w:pPr>
      <w:r>
        <w:rPr>
          <w:b/>
          <w:bCs/>
        </w:rPr>
        <w:t xml:space="preserve">Published-fee matching is by name.</w:t>
      </w:r>
      <w:r>
        <w:t xml:space="preserve"> The fees book labels programmes by name, not by specialisation code, and names drift between books ("Analytics" vs "Statistics and Data Sciences"). Matching is rule-based with a curated alias list; the method used is recorded per row (</w:t>
      </w:r>
      <w:r>
        <w:rPr>
          <w:rFonts w:ascii="Consolas" w:cs="Consolas" w:eastAsia="Consolas" w:hAnsi="Consolas"/>
          <w:sz w:val="18"/>
          <w:szCs w:val="18"/>
        </w:rPr>
        <w:t xml:space="preserve">fee_match_method</w:t>
      </w:r>
      <w:r>
        <w:t xml:space="preserve">), and unmatched labels are reported. Academic Development fees are published once per specialisation — they are assigned to the variant whose duration matches the published block, and flagged where ambiguity remains.</w:t>
      </w:r>
    </w:p>
    <w:p>
      <w:pPr>
        <w:pStyle w:val="ListParagraph"/>
        <w:numPr>
          <w:ilvl w:val="0"/>
          <w:numId w:val="2"/>
        </w:numPr>
        <w:spacing w:after="80"/>
      </w:pPr>
      <w:r>
        <w:rPr>
          <w:b/>
          <w:bCs/>
        </w:rPr>
        <w:t xml:space="preserve">Older editions are noisier.</w:t>
      </w:r>
      <w:r>
        <w:t xml:space="preserve"> The 2021–2023 fee sections reconcile at a somewhat lower rate than 2024–2026; their mismatch lists are correspondingly longer.</w:t>
      </w:r>
    </w:p>
    <w:p>
      <w:pPr>
        <w:pStyle w:val="ListParagraph"/>
        <w:numPr>
          <w:ilvl w:val="0"/>
          <w:numId w:val="2"/>
        </w:numPr>
        <w:spacing w:after="80"/>
      </w:pPr>
      <w:r>
        <w:rPr>
          <w:b/>
          <w:bCs/>
        </w:rPr>
        <w:t xml:space="preserve">Degree minimums don't exist for every programme.</w:t>
      </w:r>
      <w:r>
        <w:t xml:space="preserve"> The rules layer covers the mainstream COM degrees, the EBE programmes and the LLB streams; Commerce's Academic Development variants and the Health Sciences professional degrees print durations but no minimum-credit rule, so their </w:t>
      </w:r>
      <w:r>
        <w:rPr>
          <w:rFonts w:ascii="Consolas" w:cs="Consolas" w:eastAsia="Consolas" w:hAnsi="Consolas"/>
          <w:sz w:val="18"/>
          <w:szCs w:val="18"/>
        </w:rPr>
        <w:t xml:space="preserve">degree_check</w:t>
      </w:r>
      <w:r>
        <w:t xml:space="preserve"> rows read </w:t>
      </w:r>
      <w:r>
        <w:rPr>
          <w:rFonts w:ascii="Consolas" w:cs="Consolas" w:eastAsia="Consolas" w:hAnsi="Consolas"/>
          <w:sz w:val="18"/>
          <w:szCs w:val="18"/>
        </w:rPr>
        <w:t xml:space="preserve">NO_RULE</w:t>
      </w:r>
      <w:r>
        <w:t xml:space="preserve">. The EBE handbook also carries its own disclaimer — "Students should ignore NQF credit values, and complete their degrees by faculty rules for number of courses" — worth remembering when comparing EBE credit sums across editions.</w:t>
      </w:r>
    </w:p>
    <w:p>
      <w:pPr>
        <w:pStyle w:val="ListParagraph"/>
        <w:numPr>
          <w:ilvl w:val="0"/>
          <w:numId w:val="2"/>
        </w:numPr>
        <w:spacing w:after="80"/>
      </w:pPr>
      <w:r>
        <w:rPr>
          <w:b/>
          <w:bCs/>
        </w:rPr>
        <w:t xml:space="preserve">Zero-credit and cross-listed courses exist</w:t>
      </w:r>
      <w:r>
        <w:t xml:space="preserve"> (e.g. a 0-credit programming assessment) and are represented as printed.</w:t>
      </w:r>
    </w:p>
    <w:p>
      <w:pPr>
        <w:pStyle w:val="ListParagraph"/>
        <w:numPr>
          <w:ilvl w:val="0"/>
          <w:numId w:val="2"/>
        </w:numPr>
        <w:spacing w:after="80"/>
      </w:pPr>
      <w:r>
        <w:rPr>
          <w:b/>
          <w:bCs/>
        </w:rPr>
        <w:t xml:space="preserve">Science and Humanities curricula are majors, not whole degrees.</w:t>
      </w:r>
      <w:r>
        <w:t xml:space="preserve"> A BSc/BA/BSocSc student combines majors and electives under the faculty's composition rules, so a major's credit sum is deliberately below the degree total. Majors print no per-year credit totals; their spec-years carry the status </w:t>
      </w:r>
      <w:r>
        <w:rPr>
          <w:rFonts w:ascii="Consolas" w:cs="Consolas" w:eastAsia="Consolas" w:hAnsi="Consolas"/>
          <w:sz w:val="18"/>
          <w:szCs w:val="18"/>
        </w:rPr>
        <w:t xml:space="preserve">no_anchor</w:t>
      </w:r>
      <w:r>
        <w:t xml:space="preserve"> (nothing to reconcile against per year), and the degree-level minima — SCI: 360 credits from the 2025 edition ("nine full-year courses" before); HUM: 20 semester courses, 10 senior, 2 majors — live in </w:t>
      </w:r>
      <w:r>
        <w:rPr>
          <w:rFonts w:ascii="Consolas" w:cs="Consolas" w:eastAsia="Consolas" w:hAnsi="Consolas"/>
          <w:sz w:val="18"/>
          <w:szCs w:val="18"/>
        </w:rPr>
        <w:t xml:space="preserve">degree_rules.csv</w:t>
      </w:r>
      <w:r>
        <w:t xml:space="preserve">. Published fees for these faculties are per degree, applied to every major (</w:t>
      </w:r>
      <w:r>
        <w:rPr>
          <w:rFonts w:ascii="Consolas" w:cs="Consolas" w:eastAsia="Consolas" w:hAnsi="Consolas"/>
          <w:sz w:val="18"/>
          <w:szCs w:val="18"/>
        </w:rPr>
        <w:t xml:space="preserve">degree_flat</w:t>
      </w:r>
      <w:r>
        <w:t xml:space="preserve">), so per-major fee deltas are indicative only.</w:t>
      </w:r>
    </w:p>
    <w:p>
      <w:pPr>
        <w:spacing w:after="40"/>
      </w:pPr>
    </w:p>
    <w:p>
      <w:pPr>
        <w:pStyle w:val="Heading1"/>
        <w:spacing w:after="160" w:before="360"/>
      </w:pPr>
      <w:r>
        <w:t xml:space="preserve">9. Worked examples</w:t>
      </w:r>
    </w:p>
    <w:p>
      <w:pPr>
        <w:spacing w:after="120"/>
        <w:jc w:val="both"/>
      </w:pPr>
      <w:r>
        <w:rPr>
          <w:b/>
          <w:bCs/>
        </w:rPr>
        <w:t xml:space="preserve">"How did the credit load of BCom Actuarial Science change?"</w:t>
      </w:r>
      <w:r>
        <w:t xml:space="preserve"> Open </w:t>
      </w:r>
      <w:r>
        <w:rPr>
          <w:rFonts w:ascii="Consolas" w:cs="Consolas" w:eastAsia="Consolas" w:hAnsi="Consolas"/>
          <w:sz w:val="18"/>
          <w:szCs w:val="18"/>
        </w:rPr>
        <w:t xml:space="preserve">ideal_student_summary.csv</w:t>
      </w:r>
      <w:r>
        <w:t xml:space="preserve">, filter </w:t>
      </w:r>
      <w:r>
        <w:rPr>
          <w:rFonts w:ascii="Consolas" w:cs="Consolas" w:eastAsia="Consolas" w:hAnsi="Consolas"/>
          <w:sz w:val="18"/>
          <w:szCs w:val="18"/>
        </w:rPr>
        <w:t xml:space="preserve">plan_code = CB019BUS01</w:t>
      </w:r>
      <w:r>
        <w:t xml:space="preserve">, </w:t>
      </w:r>
      <w:r>
        <w:rPr>
          <w:rFonts w:ascii="Consolas" w:cs="Consolas" w:eastAsia="Consolas" w:hAnsi="Consolas"/>
          <w:sz w:val="18"/>
          <w:szCs w:val="18"/>
        </w:rPr>
        <w:t xml:space="preserve">study_year = 1</w:t>
      </w:r>
      <w:r>
        <w:t xml:space="preserv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108"/>
        <w:gridCol w:w="2059"/>
        <w:gridCol w:w="1900"/>
        <w:gridCol w:w="1900"/>
        <w:gridCol w:w="2059"/>
      </w:tblGrid>
      <w:tr>
        <w:trPr>
          <w:tblHeader/>
        </w:trPr>
        <w:tc>
          <w:tcPr>
            <w:tcW w:type="dxa" w:w="1108"/>
            <w:shd w:fill="DEEAF6" w:val="clear"/>
            <w:tcMar>
              <w:top w:type="dxa" w:w="60"/>
              <w:left w:type="dxa" w:w="100"/>
              <w:bottom w:type="dxa" w:w="60"/>
              <w:right w:type="dxa" w:w="100"/>
            </w:tcMar>
          </w:tcPr>
          <w:p>
            <w:pPr>
              <w:spacing w:after="0"/>
            </w:pPr>
            <w:r>
              <w:rPr>
                <w:b/>
                <w:bCs/>
              </w:rPr>
              <w:t xml:space="preserve">Edition</w:t>
            </w:r>
          </w:p>
        </w:tc>
        <w:tc>
          <w:tcPr>
            <w:tcW w:type="dxa" w:w="2059"/>
            <w:shd w:fill="DEEAF6" w:val="clear"/>
            <w:tcMar>
              <w:top w:type="dxa" w:w="60"/>
              <w:left w:type="dxa" w:w="100"/>
              <w:bottom w:type="dxa" w:w="60"/>
              <w:right w:type="dxa" w:w="100"/>
            </w:tcMar>
          </w:tcPr>
          <w:p>
            <w:pPr>
              <w:spacing w:after="0"/>
            </w:pPr>
            <w:r>
              <w:rPr>
                <w:b/>
                <w:bCs/>
              </w:rPr>
              <w:t xml:space="preserve">Ideal credits</w:t>
            </w:r>
          </w:p>
        </w:tc>
        <w:tc>
          <w:tcPr>
            <w:tcW w:type="dxa" w:w="1900"/>
            <w:shd w:fill="DEEAF6" w:val="clear"/>
            <w:tcMar>
              <w:top w:type="dxa" w:w="60"/>
              <w:left w:type="dxa" w:w="100"/>
              <w:bottom w:type="dxa" w:w="60"/>
              <w:right w:type="dxa" w:w="100"/>
            </w:tcMar>
          </w:tcPr>
          <w:p>
            <w:pPr>
              <w:spacing w:after="0"/>
            </w:pPr>
            <w:r>
              <w:rPr>
                <w:b/>
                <w:bCs/>
              </w:rPr>
              <w:t xml:space="preserve">Stated total</w:t>
            </w:r>
          </w:p>
        </w:tc>
        <w:tc>
          <w:tcPr>
            <w:tcW w:type="dxa" w:w="1900"/>
            <w:shd w:fill="DEEAF6" w:val="clear"/>
            <w:tcMar>
              <w:top w:type="dxa" w:w="60"/>
              <w:left w:type="dxa" w:w="100"/>
              <w:bottom w:type="dxa" w:w="60"/>
              <w:right w:type="dxa" w:w="100"/>
            </w:tcMar>
          </w:tcPr>
          <w:p>
            <w:pPr>
              <w:spacing w:after="0"/>
            </w:pPr>
            <w:r>
              <w:rPr>
                <w:b/>
                <w:bCs/>
              </w:rPr>
              <w:t xml:space="preserve">Computed fee</w:t>
            </w:r>
          </w:p>
        </w:tc>
        <w:tc>
          <w:tcPr>
            <w:tcW w:type="dxa" w:w="2059"/>
            <w:shd w:fill="DEEAF6" w:val="clear"/>
            <w:tcMar>
              <w:top w:type="dxa" w:w="60"/>
              <w:left w:type="dxa" w:w="100"/>
              <w:bottom w:type="dxa" w:w="60"/>
              <w:right w:type="dxa" w:w="100"/>
            </w:tcMar>
          </w:tcPr>
          <w:p>
            <w:pPr>
              <w:spacing w:after="0"/>
            </w:pPr>
            <w:r>
              <w:rPr>
                <w:b/>
                <w:bCs/>
              </w:rPr>
              <w:t xml:space="preserve">Published fee</w:t>
            </w:r>
          </w:p>
        </w:tc>
      </w:tr>
      <w:tr>
        <w:trPr>
          <w:tblHeader w:val="false"/>
        </w:trPr>
        <w:tc>
          <w:tcPr>
            <w:tcW w:type="dxa" w:w="1108"/>
            <w:tcMar>
              <w:top w:type="dxa" w:w="60"/>
              <w:left w:type="dxa" w:w="100"/>
              <w:bottom w:type="dxa" w:w="60"/>
              <w:right w:type="dxa" w:w="100"/>
            </w:tcMar>
          </w:tcPr>
          <w:p>
            <w:pPr>
              <w:spacing w:after="0"/>
            </w:pPr>
            <w:r>
              <w:t xml:space="preserve">2021</w:t>
            </w:r>
          </w:p>
        </w:tc>
        <w:tc>
          <w:tcPr>
            <w:tcW w:type="dxa" w:w="2059"/>
            <w:tcMar>
              <w:top w:type="dxa" w:w="60"/>
              <w:left w:type="dxa" w:w="100"/>
              <w:bottom w:type="dxa" w:w="60"/>
              <w:right w:type="dxa" w:w="100"/>
            </w:tcMar>
          </w:tcPr>
          <w:p>
            <w:pPr>
              <w:spacing w:after="0"/>
            </w:pPr>
            <w:r>
              <w:t xml:space="preserve">185</w:t>
            </w:r>
          </w:p>
        </w:tc>
        <w:tc>
          <w:tcPr>
            <w:tcW w:type="dxa" w:w="1900"/>
            <w:tcMar>
              <w:top w:type="dxa" w:w="60"/>
              <w:left w:type="dxa" w:w="100"/>
              <w:bottom w:type="dxa" w:w="60"/>
              <w:right w:type="dxa" w:w="100"/>
            </w:tcMar>
          </w:tcPr>
          <w:p>
            <w:pPr>
              <w:spacing w:after="0"/>
            </w:pPr>
            <w:r>
              <w:t xml:space="preserve">185</w:t>
            </w:r>
          </w:p>
        </w:tc>
        <w:tc>
          <w:tcPr>
            <w:tcW w:type="dxa" w:w="1900"/>
            <w:tcMar>
              <w:top w:type="dxa" w:w="60"/>
              <w:left w:type="dxa" w:w="100"/>
              <w:bottom w:type="dxa" w:w="60"/>
              <w:right w:type="dxa" w:w="100"/>
            </w:tcMar>
          </w:tcPr>
          <w:p>
            <w:pPr>
              <w:spacing w:after="0"/>
            </w:pPr>
            <w:r>
              <w:t xml:space="preserve">R85,250</w:t>
            </w:r>
          </w:p>
        </w:tc>
        <w:tc>
          <w:tcPr>
            <w:tcW w:type="dxa" w:w="2059"/>
            <w:tcMar>
              <w:top w:type="dxa" w:w="60"/>
              <w:left w:type="dxa" w:w="100"/>
              <w:bottom w:type="dxa" w:w="60"/>
              <w:right w:type="dxa" w:w="100"/>
            </w:tcMar>
          </w:tcPr>
          <w:p>
            <w:pPr>
              <w:spacing w:after="0"/>
            </w:pPr>
            <w:r>
              <w:t xml:space="preserve">R85,250</w:t>
            </w:r>
          </w:p>
        </w:tc>
      </w:tr>
      <w:tr>
        <w:trPr>
          <w:tblHeader w:val="false"/>
        </w:trPr>
        <w:tc>
          <w:tcPr>
            <w:tcW w:type="dxa" w:w="1108"/>
            <w:tcMar>
              <w:top w:type="dxa" w:w="60"/>
              <w:left w:type="dxa" w:w="100"/>
              <w:bottom w:type="dxa" w:w="60"/>
              <w:right w:type="dxa" w:w="100"/>
            </w:tcMar>
          </w:tcPr>
          <w:p>
            <w:pPr>
              <w:spacing w:after="0"/>
            </w:pPr>
            <w:r>
              <w:t xml:space="preserve">2022</w:t>
            </w:r>
          </w:p>
        </w:tc>
        <w:tc>
          <w:tcPr>
            <w:tcW w:type="dxa" w:w="2059"/>
            <w:tcMar>
              <w:top w:type="dxa" w:w="60"/>
              <w:left w:type="dxa" w:w="100"/>
              <w:bottom w:type="dxa" w:w="60"/>
              <w:right w:type="dxa" w:w="100"/>
            </w:tcMar>
          </w:tcPr>
          <w:p>
            <w:pPr>
              <w:spacing w:after="0"/>
            </w:pPr>
            <w:r>
              <w:t xml:space="preserve">185</w:t>
            </w:r>
          </w:p>
        </w:tc>
        <w:tc>
          <w:tcPr>
            <w:tcW w:type="dxa" w:w="1900"/>
            <w:tcMar>
              <w:top w:type="dxa" w:w="60"/>
              <w:left w:type="dxa" w:w="100"/>
              <w:bottom w:type="dxa" w:w="60"/>
              <w:right w:type="dxa" w:w="100"/>
            </w:tcMar>
          </w:tcPr>
          <w:p>
            <w:pPr>
              <w:spacing w:after="0"/>
            </w:pPr>
            <w:r>
              <w:t xml:space="preserve">185</w:t>
            </w:r>
          </w:p>
        </w:tc>
        <w:tc>
          <w:tcPr>
            <w:tcW w:type="dxa" w:w="1900"/>
            <w:tcMar>
              <w:top w:type="dxa" w:w="60"/>
              <w:left w:type="dxa" w:w="100"/>
              <w:bottom w:type="dxa" w:w="60"/>
              <w:right w:type="dxa" w:w="100"/>
            </w:tcMar>
          </w:tcPr>
          <w:p>
            <w:pPr>
              <w:spacing w:after="0"/>
            </w:pPr>
            <w:r>
              <w:t xml:space="preserve">R88,910</w:t>
            </w:r>
          </w:p>
        </w:tc>
        <w:tc>
          <w:tcPr>
            <w:tcW w:type="dxa" w:w="2059"/>
            <w:tcMar>
              <w:top w:type="dxa" w:w="60"/>
              <w:left w:type="dxa" w:w="100"/>
              <w:bottom w:type="dxa" w:w="60"/>
              <w:right w:type="dxa" w:w="100"/>
            </w:tcMar>
          </w:tcPr>
          <w:p>
            <w:pPr>
              <w:spacing w:after="0"/>
            </w:pPr>
            <w:r>
              <w:t xml:space="preserve">R88,910</w:t>
            </w:r>
          </w:p>
        </w:tc>
      </w:tr>
      <w:tr>
        <w:trPr>
          <w:tblHeader w:val="false"/>
        </w:trPr>
        <w:tc>
          <w:tcPr>
            <w:tcW w:type="dxa" w:w="1108"/>
            <w:tcMar>
              <w:top w:type="dxa" w:w="60"/>
              <w:left w:type="dxa" w:w="100"/>
              <w:bottom w:type="dxa" w:w="60"/>
              <w:right w:type="dxa" w:w="100"/>
            </w:tcMar>
          </w:tcPr>
          <w:p>
            <w:pPr>
              <w:spacing w:after="0"/>
            </w:pPr>
            <w:r>
              <w:t xml:space="preserve">2023</w:t>
            </w:r>
          </w:p>
        </w:tc>
        <w:tc>
          <w:tcPr>
            <w:tcW w:type="dxa" w:w="2059"/>
            <w:tcMar>
              <w:top w:type="dxa" w:w="60"/>
              <w:left w:type="dxa" w:w="100"/>
              <w:bottom w:type="dxa" w:w="60"/>
              <w:right w:type="dxa" w:w="100"/>
            </w:tcMar>
          </w:tcPr>
          <w:p>
            <w:pPr>
              <w:spacing w:after="0"/>
            </w:pPr>
            <w:r>
              <w:t xml:space="preserve">185</w:t>
            </w:r>
          </w:p>
        </w:tc>
        <w:tc>
          <w:tcPr>
            <w:tcW w:type="dxa" w:w="1900"/>
            <w:tcMar>
              <w:top w:type="dxa" w:w="60"/>
              <w:left w:type="dxa" w:w="100"/>
              <w:bottom w:type="dxa" w:w="60"/>
              <w:right w:type="dxa" w:w="100"/>
            </w:tcMar>
          </w:tcPr>
          <w:p>
            <w:pPr>
              <w:spacing w:after="0"/>
            </w:pPr>
            <w:r>
              <w:t xml:space="preserve">185</w:t>
            </w:r>
          </w:p>
        </w:tc>
        <w:tc>
          <w:tcPr>
            <w:tcW w:type="dxa" w:w="1900"/>
            <w:tcMar>
              <w:top w:type="dxa" w:w="60"/>
              <w:left w:type="dxa" w:w="100"/>
              <w:bottom w:type="dxa" w:w="60"/>
              <w:right w:type="dxa" w:w="100"/>
            </w:tcMar>
          </w:tcPr>
          <w:p>
            <w:pPr>
              <w:spacing w:after="0"/>
            </w:pPr>
            <w:r>
              <w:t xml:space="preserve">R93,850</w:t>
            </w:r>
          </w:p>
        </w:tc>
        <w:tc>
          <w:tcPr>
            <w:tcW w:type="dxa" w:w="2059"/>
            <w:tcMar>
              <w:top w:type="dxa" w:w="60"/>
              <w:left w:type="dxa" w:w="100"/>
              <w:bottom w:type="dxa" w:w="60"/>
              <w:right w:type="dxa" w:w="100"/>
            </w:tcMar>
          </w:tcPr>
          <w:p>
            <w:pPr>
              <w:spacing w:after="0"/>
            </w:pPr>
            <w:r>
              <w:t xml:space="preserve">R93,850</w:t>
            </w:r>
          </w:p>
        </w:tc>
      </w:tr>
      <w:tr>
        <w:trPr>
          <w:tblHeader w:val="false"/>
        </w:trPr>
        <w:tc>
          <w:tcPr>
            <w:tcW w:type="dxa" w:w="1108"/>
            <w:tcMar>
              <w:top w:type="dxa" w:w="60"/>
              <w:left w:type="dxa" w:w="100"/>
              <w:bottom w:type="dxa" w:w="60"/>
              <w:right w:type="dxa" w:w="100"/>
            </w:tcMar>
          </w:tcPr>
          <w:p>
            <w:pPr>
              <w:spacing w:after="0"/>
            </w:pPr>
            <w:r>
              <w:t xml:space="preserve">2024</w:t>
            </w:r>
          </w:p>
        </w:tc>
        <w:tc>
          <w:tcPr>
            <w:tcW w:type="dxa" w:w="2059"/>
            <w:tcMar>
              <w:top w:type="dxa" w:w="60"/>
              <w:left w:type="dxa" w:w="100"/>
              <w:bottom w:type="dxa" w:w="60"/>
              <w:right w:type="dxa" w:w="100"/>
            </w:tcMar>
          </w:tcPr>
          <w:p>
            <w:pPr>
              <w:spacing w:after="0"/>
            </w:pPr>
            <w:r>
              <w:t xml:space="preserve">180</w:t>
            </w:r>
          </w:p>
        </w:tc>
        <w:tc>
          <w:tcPr>
            <w:tcW w:type="dxa" w:w="1900"/>
            <w:tcMar>
              <w:top w:type="dxa" w:w="60"/>
              <w:left w:type="dxa" w:w="100"/>
              <w:bottom w:type="dxa" w:w="60"/>
              <w:right w:type="dxa" w:w="100"/>
            </w:tcMar>
          </w:tcPr>
          <w:p>
            <w:pPr>
              <w:spacing w:after="0"/>
            </w:pPr>
            <w:r>
              <w:t xml:space="preserve">180</w:t>
            </w:r>
          </w:p>
        </w:tc>
        <w:tc>
          <w:tcPr>
            <w:tcW w:type="dxa" w:w="1900"/>
            <w:tcMar>
              <w:top w:type="dxa" w:w="60"/>
              <w:left w:type="dxa" w:w="100"/>
              <w:bottom w:type="dxa" w:w="60"/>
              <w:right w:type="dxa" w:w="100"/>
            </w:tcMar>
          </w:tcPr>
          <w:p>
            <w:pPr>
              <w:spacing w:after="0"/>
            </w:pPr>
            <w:r>
              <w:t xml:space="preserve">R98,140</w:t>
            </w:r>
          </w:p>
        </w:tc>
        <w:tc>
          <w:tcPr>
            <w:tcW w:type="dxa" w:w="2059"/>
            <w:tcMar>
              <w:top w:type="dxa" w:w="60"/>
              <w:left w:type="dxa" w:w="100"/>
              <w:bottom w:type="dxa" w:w="60"/>
              <w:right w:type="dxa" w:w="100"/>
            </w:tcMar>
          </w:tcPr>
          <w:p>
            <w:pPr>
              <w:spacing w:after="0"/>
            </w:pPr>
            <w:r>
              <w:t xml:space="preserve">R98,140</w:t>
            </w:r>
          </w:p>
        </w:tc>
      </w:tr>
      <w:tr>
        <w:trPr>
          <w:tblHeader w:val="false"/>
        </w:trPr>
        <w:tc>
          <w:tcPr>
            <w:tcW w:type="dxa" w:w="1108"/>
            <w:tcMar>
              <w:top w:type="dxa" w:w="60"/>
              <w:left w:type="dxa" w:w="100"/>
              <w:bottom w:type="dxa" w:w="60"/>
              <w:right w:type="dxa" w:w="100"/>
            </w:tcMar>
          </w:tcPr>
          <w:p>
            <w:pPr>
              <w:spacing w:after="0"/>
            </w:pPr>
            <w:r>
              <w:t xml:space="preserve">2025</w:t>
            </w:r>
          </w:p>
        </w:tc>
        <w:tc>
          <w:tcPr>
            <w:tcW w:type="dxa" w:w="2059"/>
            <w:tcMar>
              <w:top w:type="dxa" w:w="60"/>
              <w:left w:type="dxa" w:w="100"/>
              <w:bottom w:type="dxa" w:w="60"/>
              <w:right w:type="dxa" w:w="100"/>
            </w:tcMar>
          </w:tcPr>
          <w:p>
            <w:pPr>
              <w:spacing w:after="0"/>
            </w:pPr>
            <w:r>
              <w:t xml:space="preserve">180</w:t>
            </w:r>
          </w:p>
        </w:tc>
        <w:tc>
          <w:tcPr>
            <w:tcW w:type="dxa" w:w="1900"/>
            <w:tcMar>
              <w:top w:type="dxa" w:w="60"/>
              <w:left w:type="dxa" w:w="100"/>
              <w:bottom w:type="dxa" w:w="60"/>
              <w:right w:type="dxa" w:w="100"/>
            </w:tcMar>
          </w:tcPr>
          <w:p>
            <w:pPr>
              <w:spacing w:after="0"/>
            </w:pPr>
            <w:r>
              <w:t xml:space="preserve">180</w:t>
            </w:r>
          </w:p>
        </w:tc>
        <w:tc>
          <w:tcPr>
            <w:tcW w:type="dxa" w:w="1900"/>
            <w:tcMar>
              <w:top w:type="dxa" w:w="60"/>
              <w:left w:type="dxa" w:w="100"/>
              <w:bottom w:type="dxa" w:w="60"/>
              <w:right w:type="dxa" w:w="100"/>
            </w:tcMar>
          </w:tcPr>
          <w:p>
            <w:pPr>
              <w:spacing w:after="0"/>
            </w:pPr>
            <w:r>
              <w:t xml:space="preserve">R103,890</w:t>
            </w:r>
          </w:p>
        </w:tc>
        <w:tc>
          <w:tcPr>
            <w:tcW w:type="dxa" w:w="2059"/>
            <w:tcMar>
              <w:top w:type="dxa" w:w="60"/>
              <w:left w:type="dxa" w:w="100"/>
              <w:bottom w:type="dxa" w:w="60"/>
              <w:right w:type="dxa" w:w="100"/>
            </w:tcMar>
          </w:tcPr>
          <w:p>
            <w:pPr>
              <w:spacing w:after="0"/>
            </w:pPr>
            <w:r>
              <w:t xml:space="preserve">R103,890</w:t>
            </w:r>
          </w:p>
        </w:tc>
      </w:tr>
      <w:tr>
        <w:trPr>
          <w:tblHeader w:val="false"/>
        </w:trPr>
        <w:tc>
          <w:tcPr>
            <w:tcW w:type="dxa" w:w="1108"/>
            <w:tcMar>
              <w:top w:type="dxa" w:w="60"/>
              <w:left w:type="dxa" w:w="100"/>
              <w:bottom w:type="dxa" w:w="60"/>
              <w:right w:type="dxa" w:w="100"/>
            </w:tcMar>
          </w:tcPr>
          <w:p>
            <w:pPr>
              <w:spacing w:after="0"/>
            </w:pPr>
            <w:r>
              <w:t xml:space="preserve">2026</w:t>
            </w:r>
          </w:p>
        </w:tc>
        <w:tc>
          <w:tcPr>
            <w:tcW w:type="dxa" w:w="2059"/>
            <w:tcMar>
              <w:top w:type="dxa" w:w="60"/>
              <w:left w:type="dxa" w:w="100"/>
              <w:bottom w:type="dxa" w:w="60"/>
              <w:right w:type="dxa" w:w="100"/>
            </w:tcMar>
          </w:tcPr>
          <w:p>
            <w:pPr>
              <w:spacing w:after="0"/>
            </w:pPr>
            <w:r>
              <w:t xml:space="preserve">180</w:t>
            </w:r>
          </w:p>
        </w:tc>
        <w:tc>
          <w:tcPr>
            <w:tcW w:type="dxa" w:w="1900"/>
            <w:tcMar>
              <w:top w:type="dxa" w:w="60"/>
              <w:left w:type="dxa" w:w="100"/>
              <w:bottom w:type="dxa" w:w="60"/>
              <w:right w:type="dxa" w:w="100"/>
            </w:tcMar>
          </w:tcPr>
          <w:p>
            <w:pPr>
              <w:spacing w:after="0"/>
            </w:pPr>
            <w:r>
              <w:t xml:space="preserve">180</w:t>
            </w:r>
          </w:p>
        </w:tc>
        <w:tc>
          <w:tcPr>
            <w:tcW w:type="dxa" w:w="1900"/>
            <w:tcMar>
              <w:top w:type="dxa" w:w="60"/>
              <w:left w:type="dxa" w:w="100"/>
              <w:bottom w:type="dxa" w:w="60"/>
              <w:right w:type="dxa" w:w="100"/>
            </w:tcMar>
          </w:tcPr>
          <w:p>
            <w:pPr>
              <w:spacing w:after="0"/>
            </w:pPr>
            <w:r>
              <w:t xml:space="preserve">R110,160</w:t>
            </w:r>
          </w:p>
        </w:tc>
        <w:tc>
          <w:tcPr>
            <w:tcW w:type="dxa" w:w="2059"/>
            <w:tcMar>
              <w:top w:type="dxa" w:w="60"/>
              <w:left w:type="dxa" w:w="100"/>
              <w:bottom w:type="dxa" w:w="60"/>
              <w:right w:type="dxa" w:w="100"/>
            </w:tcMar>
          </w:tcPr>
          <w:p>
            <w:pPr>
              <w:spacing w:after="0"/>
            </w:pPr>
            <w:r>
              <w:t xml:space="preserve">R110,580</w:t>
            </w:r>
          </w:p>
        </w:tc>
      </w:tr>
    </w:tbl>
    <w:p>
      <w:pPr>
        <w:spacing w:after="120"/>
      </w:pPr>
    </w:p>
    <w:p>
      <w:pPr>
        <w:spacing w:after="120"/>
        <w:jc w:val="both"/>
      </w:pPr>
      <w:r>
        <w:t xml:space="preserve">The credit re-think is visible at the 2024 edition (−5 credits), and the computed cost matches the published fee to the rand in 2021–2025 (−0.4% in 2026).</w:t>
      </w:r>
    </w:p>
    <w:p>
      <w:pPr>
        <w:spacing w:after="120"/>
        <w:jc w:val="both"/>
      </w:pPr>
      <w:r>
        <w:rPr>
          <w:b/>
          <w:bCs/>
        </w:rPr>
        <w:t xml:space="preserve">"What exactly does that student take in 2024?"</w:t>
      </w:r>
      <w:r>
        <w:t xml:space="preserve"> Open </w:t>
      </w:r>
      <w:r>
        <w:rPr>
          <w:rFonts w:ascii="Consolas" w:cs="Consolas" w:eastAsia="Consolas" w:hAnsi="Consolas"/>
          <w:sz w:val="18"/>
          <w:szCs w:val="18"/>
        </w:rPr>
        <w:t xml:space="preserve">main_dataset.csv</w:t>
      </w:r>
      <w:r>
        <w:t xml:space="preserve">, filter </w:t>
      </w:r>
      <w:r>
        <w:rPr>
          <w:rFonts w:ascii="Consolas" w:cs="Consolas" w:eastAsia="Consolas" w:hAnsi="Consolas"/>
          <w:sz w:val="18"/>
          <w:szCs w:val="18"/>
        </w:rPr>
        <w:t xml:space="preserve">year = 2024</w:t>
      </w:r>
      <w:r>
        <w:t xml:space="preserve">, </w:t>
      </w:r>
      <w:r>
        <w:rPr>
          <w:rFonts w:ascii="Consolas" w:cs="Consolas" w:eastAsia="Consolas" w:hAnsi="Consolas"/>
          <w:sz w:val="18"/>
          <w:szCs w:val="18"/>
        </w:rPr>
        <w:t xml:space="preserve">plan_code = CB019BUS01</w:t>
      </w:r>
      <w:r>
        <w:t xml:space="preserve">, </w:t>
      </w:r>
      <w:r>
        <w:rPr>
          <w:rFonts w:ascii="Consolas" w:cs="Consolas" w:eastAsia="Consolas" w:hAnsi="Consolas"/>
          <w:sz w:val="18"/>
          <w:szCs w:val="18"/>
        </w:rPr>
        <w:t xml:space="preserve">study_year = 1</w:t>
      </w:r>
      <w:r>
        <w:t xml:space="preserve">, </w:t>
      </w:r>
      <w:r>
        <w:rPr>
          <w:rFonts w:ascii="Consolas" w:cs="Consolas" w:eastAsia="Consolas" w:hAnsi="Consolas"/>
          <w:sz w:val="18"/>
          <w:szCs w:val="18"/>
        </w:rPr>
        <w:t xml:space="preserve">ideal_student = True</w:t>
      </w:r>
      <w:r>
        <w:t xml:space="preserve"> — the course list, each course's credits and fee, and the page each row came from.</w:t>
      </w:r>
    </w:p>
    <w:p>
      <w:pPr>
        <w:spacing w:after="120"/>
        <w:jc w:val="both"/>
      </w:pPr>
      <w:r>
        <w:rPr>
          <w:b/>
          <w:bCs/>
        </w:rPr>
        <w:t xml:space="preserve">"When did the faculty change what the whole degree must total?"</w:t>
      </w:r>
      <w:r>
        <w:t xml:space="preserve"> Open </w:t>
      </w:r>
      <w:r>
        <w:rPr>
          <w:rFonts w:ascii="Consolas" w:cs="Consolas" w:eastAsia="Consolas" w:hAnsi="Consolas"/>
          <w:sz w:val="18"/>
          <w:szCs w:val="18"/>
        </w:rPr>
        <w:t xml:space="preserve">degree_rules.csv</w:t>
      </w:r>
      <w:r>
        <w:t xml:space="preserve">, filter </w:t>
      </w:r>
      <w:r>
        <w:rPr>
          <w:rFonts w:ascii="Consolas" w:cs="Consolas" w:eastAsia="Consolas" w:hAnsi="Consolas"/>
          <w:sz w:val="18"/>
          <w:szCs w:val="18"/>
        </w:rPr>
        <w:t xml:space="preserve">degree_scope = Bachelor of Business Science</w:t>
      </w:r>
      <w:r>
        <w:t xml:space="preserve">, and read </w:t>
      </w:r>
      <w:r>
        <w:rPr>
          <w:rFonts w:ascii="Consolas" w:cs="Consolas" w:eastAsia="Consolas" w:hAnsi="Consolas"/>
          <w:sz w:val="18"/>
          <w:szCs w:val="18"/>
        </w:rPr>
        <w:t xml:space="preserve">min_total_credits</w:t>
      </w:r>
      <w:r>
        <w:t xml:space="preserve"> across editions: 623 credits (2021–2024), then 528 from the 2025 edition — with the level-8 requirement rising from 96 to 120 credits at the same moment. Every row carries the rule reference (FBB2), the page, and the printed sentence.</w:t>
      </w:r>
    </w:p>
    <w:p>
      <w:pPr>
        <w:spacing w:after="120"/>
        <w:jc w:val="both"/>
      </w:pPr>
      <w:r>
        <w:rPr>
          <w:b/>
          <w:bCs/>
        </w:rPr>
        <w:t xml:space="preserve">"Which programmes' handbook entries need editorial attention?"</w:t>
      </w:r>
      <w:r>
        <w:t xml:space="preserve"> Open </w:t>
      </w:r>
      <w:r>
        <w:rPr>
          <w:rFonts w:ascii="Consolas" w:cs="Consolas" w:eastAsia="Consolas" w:hAnsi="Consolas"/>
          <w:sz w:val="18"/>
          <w:szCs w:val="18"/>
        </w:rPr>
        <w:t xml:space="preserve">validation/credit_check_&lt;year&gt;.csv</w:t>
      </w:r>
      <w:r>
        <w:t xml:space="preserve"> and filter </w:t>
      </w:r>
      <w:r>
        <w:rPr>
          <w:rFonts w:ascii="Consolas" w:cs="Consolas" w:eastAsia="Consolas" w:hAnsi="Consolas"/>
          <w:sz w:val="18"/>
          <w:szCs w:val="18"/>
        </w:rPr>
        <w:t xml:space="preserve">status = MISMATCH</w:t>
      </w:r>
      <w:r>
        <w:t xml:space="preserve">; for whole-degree disagreements (a curriculum below its own faculty's minimum, a stated total the tables no longer support), open </w:t>
      </w:r>
      <w:r>
        <w:rPr>
          <w:rFonts w:ascii="Consolas" w:cs="Consolas" w:eastAsia="Consolas" w:hAnsi="Consolas"/>
          <w:sz w:val="18"/>
          <w:szCs w:val="18"/>
        </w:rPr>
        <w:t xml:space="preserve">validation/degree_check_&lt;year&gt;.csv</w:t>
      </w:r>
      <w:r>
        <w:t xml:space="preserve"> and filter </w:t>
      </w:r>
      <w:r>
        <w:rPr>
          <w:rFonts w:ascii="Consolas" w:cs="Consolas" w:eastAsia="Consolas" w:hAnsi="Consolas"/>
          <w:sz w:val="18"/>
          <w:szCs w:val="18"/>
        </w:rPr>
        <w:t xml:space="preserve">status = BELOW_MIN</w:t>
      </w:r>
      <w:r>
        <w:t xml:space="preserve">.</w:t>
      </w:r>
    </w:p>
    <w:p>
      <w:pPr>
        <w:pStyle w:val="Heading1"/>
        <w:spacing w:after="160" w:before="360"/>
      </w:pPr>
      <w:r>
        <w:t xml:space="preserve">10. Raising corrections</w:t>
      </w:r>
    </w:p>
    <w:p>
      <w:pPr>
        <w:spacing w:after="120"/>
        <w:jc w:val="both"/>
      </w:pPr>
      <w:r>
        <w:t xml:space="preserve">If a reviewer finds a value that misrepresents the handbook:</w:t>
      </w:r>
    </w:p>
    <w:p>
      <w:pPr>
        <w:pStyle w:val="ListParagraph"/>
        <w:numPr>
          <w:ilvl w:val="0"/>
          <w:numId w:val="2"/>
        </w:numPr>
        <w:spacing w:after="80"/>
      </w:pPr>
      <w:r>
        <w:t xml:space="preserve">Check the row's </w:t>
      </w:r>
      <w:r>
        <w:rPr>
          <w:rFonts w:ascii="Consolas" w:cs="Consolas" w:eastAsia="Consolas" w:hAnsi="Consolas"/>
          <w:sz w:val="18"/>
          <w:szCs w:val="18"/>
        </w:rPr>
        <w:t xml:space="preserve">source_page</w:t>
      </w:r>
      <w:r>
        <w:t xml:space="preserve"> against the PDF in </w:t>
      </w:r>
      <w:r>
        <w:rPr>
          <w:rFonts w:ascii="Consolas" w:cs="Consolas" w:eastAsia="Consolas" w:hAnsi="Consolas"/>
          <w:sz w:val="18"/>
          <w:szCs w:val="18"/>
        </w:rPr>
        <w:t xml:space="preserve">faculty-handbooks-undergraduate/</w:t>
      </w:r>
      <w:r>
        <w:t xml:space="preserve">.</w:t>
      </w:r>
    </w:p>
    <w:p>
      <w:pPr>
        <w:pStyle w:val="ListParagraph"/>
        <w:numPr>
          <w:ilvl w:val="0"/>
          <w:numId w:val="2"/>
        </w:numPr>
        <w:spacing w:after="80"/>
      </w:pPr>
      <w:r>
        <w:rPr>
          <w:b/>
          <w:bCs/>
        </w:rPr>
        <w:t xml:space="preserve">If the software misread the page</w:t>
      </w:r>
      <w:r>
        <w:t xml:space="preserve"> (the PDF prints the right value), the parser or its overrides file is fixed and the year re-run — other years are provably unaffected.</w:t>
      </w:r>
    </w:p>
    <w:p>
      <w:pPr>
        <w:pStyle w:val="ListParagraph"/>
        <w:numPr>
          <w:ilvl w:val="0"/>
          <w:numId w:val="2"/>
        </w:numPr>
        <w:spacing w:after="80"/>
      </w:pPr>
      <w:r>
        <w:rPr>
          <w:b/>
          <w:bCs/>
        </w:rPr>
        <w:t xml:space="preserve">If the handbook itself is wrong or ambiguous</w:t>
      </w:r>
      <w:r>
        <w:t xml:space="preserve">, the decision is entered in the faculty's adjudication register (</w:t>
      </w:r>
      <w:r>
        <w:rPr>
          <w:rFonts w:ascii="Consolas" w:cs="Consolas" w:eastAsia="Consolas" w:hAnsi="Consolas"/>
          <w:sz w:val="18"/>
          <w:szCs w:val="18"/>
        </w:rPr>
        <w:t xml:space="preserve">resolutions/&lt;faculty&gt;.csv</w:t>
      </w:r>
      <w:r>
        <w:t xml:space="preserve">, e.g. </w:t>
      </w:r>
      <w:r>
        <w:rPr>
          <w:rFonts w:ascii="Consolas" w:cs="Consolas" w:eastAsia="Consolas" w:hAnsi="Consolas"/>
          <w:sz w:val="18"/>
          <w:szCs w:val="18"/>
        </w:rPr>
        <w:t xml:space="preserve">resolutions/com.csv</w:t>
      </w:r>
      <w:r>
        <w:t xml:space="preserve">) with its rationale and page evidence, and the final layer re-run. The as-printed record is never altered; the final tables carry the resolution with its register reference, so every correction is visible, attributable, and reversible.</w:t>
      </w:r>
    </w:p>
    <w:p>
      <w:pPr>
        <w:spacing w:after="40"/>
      </w:pPr>
    </w:p>
    <w:p>
      <w:pPr>
        <w:spacing w:after="120"/>
        <w:jc w:val="both"/>
      </w:pPr>
      <w:r>
        <w:t xml:space="preserve">Forty-four provisional adjudications (marked </w:t>
      </w:r>
      <w:r>
        <w:rPr>
          <w:i/>
          <w:iCs/>
        </w:rPr>
        <w:t xml:space="preserve">"provisional (Claude), pending review"</w:t>
      </w:r>
      <w:r>
        <w:t xml:space="preserve">) currently await confirmation — reviewing them is the most valuable contribution a reader of this manual can make. They are listed in </w:t>
      </w:r>
      <w:r>
        <w:rPr>
          <w:rFonts w:ascii="Consolas" w:cs="Consolas" w:eastAsia="Consolas" w:hAnsi="Consolas"/>
          <w:sz w:val="18"/>
          <w:szCs w:val="18"/>
        </w:rPr>
        <w:t xml:space="preserve">resolutions/com.csv</w:t>
      </w:r>
      <w:r>
        <w:t xml:space="preserve"> with their reasoning spelled out.</w:t>
      </w:r>
    </w:p>
    <w:p>
      <w:pPr>
        <w:pStyle w:val="Heading1"/>
        <w:spacing w:after="160" w:before="360"/>
      </w:pPr>
      <w:r>
        <w:t xml:space="preserve">11. Glossary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9"/>
        <w:gridCol w:w="6017"/>
      </w:tblGrid>
      <w:tr>
        <w:trPr>
          <w:tblHeader/>
        </w:trPr>
        <w:tc>
          <w:tcPr>
            <w:tcW w:type="dxa" w:w="3009"/>
            <w:shd w:fill="DEEAF6" w:val="clear"/>
            <w:tcMar>
              <w:top w:type="dxa" w:w="60"/>
              <w:left w:type="dxa" w:w="100"/>
              <w:bottom w:type="dxa" w:w="60"/>
              <w:right w:type="dxa" w:w="100"/>
            </w:tcMar>
          </w:tcPr>
          <w:p>
            <w:pPr>
              <w:spacing w:after="0"/>
            </w:pPr>
            <w:r>
              <w:rPr>
                <w:b/>
                <w:bCs/>
              </w:rPr>
              <w:t xml:space="preserve">Term</w:t>
            </w:r>
          </w:p>
        </w:tc>
        <w:tc>
          <w:tcPr>
            <w:tcW w:type="dxa" w:w="6017"/>
            <w:shd w:fill="DEEAF6" w:val="clear"/>
            <w:tcMar>
              <w:top w:type="dxa" w:w="60"/>
              <w:left w:type="dxa" w:w="100"/>
              <w:bottom w:type="dxa" w:w="60"/>
              <w:right w:type="dxa" w:w="100"/>
            </w:tcMar>
          </w:tcPr>
          <w:p>
            <w:pPr>
              <w:spacing w:after="0"/>
            </w:pPr>
            <w:r>
              <w:rPr>
                <w:b/>
                <w:bCs/>
              </w:rPr>
              <w:t xml:space="preserve">Meaning</w:t>
            </w:r>
          </w:p>
        </w:tc>
      </w:tr>
      <w:tr>
        <w:trPr>
          <w:tblHeader w:val="false"/>
        </w:trPr>
        <w:tc>
          <w:tcPr>
            <w:tcW w:type="dxa" w:w="3009"/>
            <w:tcMar>
              <w:top w:type="dxa" w:w="60"/>
              <w:left w:type="dxa" w:w="100"/>
              <w:bottom w:type="dxa" w:w="60"/>
              <w:right w:type="dxa" w:w="100"/>
            </w:tcMar>
          </w:tcPr>
          <w:p>
            <w:pPr>
              <w:spacing w:after="0"/>
            </w:pPr>
            <w:r>
              <w:rPr>
                <w:b/>
                <w:bCs/>
              </w:rPr>
              <w:t xml:space="preserve">Specialisation / plan code</w:t>
            </w:r>
          </w:p>
        </w:tc>
        <w:tc>
          <w:tcPr>
            <w:tcW w:type="dxa" w:w="6017"/>
            <w:tcMar>
              <w:top w:type="dxa" w:w="60"/>
              <w:left w:type="dxa" w:w="100"/>
              <w:bottom w:type="dxa" w:w="60"/>
              <w:right w:type="dxa" w:w="100"/>
            </w:tcMar>
          </w:tcPr>
          <w:p>
            <w:pPr>
              <w:spacing w:after="0"/>
            </w:pPr>
            <w:r>
              <w:t xml:space="preserve">10-character code identifying a full degree programme (§4)</w:t>
            </w:r>
          </w:p>
        </w:tc>
      </w:tr>
      <w:tr>
        <w:trPr>
          <w:tblHeader w:val="false"/>
        </w:trPr>
        <w:tc>
          <w:tcPr>
            <w:tcW w:type="dxa" w:w="3009"/>
            <w:tcMar>
              <w:top w:type="dxa" w:w="60"/>
              <w:left w:type="dxa" w:w="100"/>
              <w:bottom w:type="dxa" w:w="60"/>
              <w:right w:type="dxa" w:w="100"/>
            </w:tcMar>
          </w:tcPr>
          <w:p>
            <w:pPr>
              <w:spacing w:after="0"/>
            </w:pPr>
            <w:r>
              <w:rPr>
                <w:b/>
                <w:bCs/>
              </w:rPr>
              <w:t xml:space="preserve">Variant</w:t>
            </w:r>
          </w:p>
        </w:tc>
        <w:tc>
          <w:tcPr>
            <w:tcW w:type="dxa" w:w="6017"/>
            <w:tcMar>
              <w:top w:type="dxa" w:w="60"/>
              <w:left w:type="dxa" w:w="100"/>
              <w:bottom w:type="dxa" w:w="60"/>
              <w:right w:type="dxa" w:w="100"/>
            </w:tcMar>
          </w:tcPr>
          <w:p>
            <w:pPr>
              <w:spacing w:after="0"/>
            </w:pPr>
            <w:r>
              <w:t xml:space="preserve">regular / augmented / extended presentation of a specialisation</w:t>
            </w:r>
          </w:p>
        </w:tc>
      </w:tr>
      <w:tr>
        <w:trPr>
          <w:tblHeader w:val="false"/>
        </w:trPr>
        <w:tc>
          <w:tcPr>
            <w:tcW w:type="dxa" w:w="3009"/>
            <w:tcMar>
              <w:top w:type="dxa" w:w="60"/>
              <w:left w:type="dxa" w:w="100"/>
              <w:bottom w:type="dxa" w:w="60"/>
              <w:right w:type="dxa" w:w="100"/>
            </w:tcMar>
          </w:tcPr>
          <w:p>
            <w:pPr>
              <w:spacing w:after="0"/>
            </w:pPr>
            <w:r>
              <w:rPr>
                <w:b/>
                <w:bCs/>
              </w:rPr>
              <w:t xml:space="preserve">NQF credit</w:t>
            </w:r>
          </w:p>
        </w:tc>
        <w:tc>
          <w:tcPr>
            <w:tcW w:type="dxa" w:w="6017"/>
            <w:tcMar>
              <w:top w:type="dxa" w:w="60"/>
              <w:left w:type="dxa" w:w="100"/>
              <w:bottom w:type="dxa" w:w="60"/>
              <w:right w:type="dxa" w:w="100"/>
            </w:tcMar>
          </w:tcPr>
          <w:p>
            <w:pPr>
              <w:spacing w:after="0"/>
            </w:pPr>
            <w:r>
              <w:t xml:space="preserve">10 notional learning hours; 18 = standard semester course</w:t>
            </w:r>
          </w:p>
        </w:tc>
      </w:tr>
      <w:tr>
        <w:trPr>
          <w:tblHeader w:val="false"/>
        </w:trPr>
        <w:tc>
          <w:tcPr>
            <w:tcW w:type="dxa" w:w="3009"/>
            <w:tcMar>
              <w:top w:type="dxa" w:w="60"/>
              <w:left w:type="dxa" w:w="100"/>
              <w:bottom w:type="dxa" w:w="60"/>
              <w:right w:type="dxa" w:w="100"/>
            </w:tcMar>
          </w:tcPr>
          <w:p>
            <w:pPr>
              <w:spacing w:after="0"/>
            </w:pPr>
            <w:r>
              <w:rPr>
                <w:b/>
                <w:bCs/>
              </w:rPr>
              <w:t xml:space="preserve">NQF level</w:t>
            </w:r>
          </w:p>
        </w:tc>
        <w:tc>
          <w:tcPr>
            <w:tcW w:type="dxa" w:w="6017"/>
            <w:tcMar>
              <w:top w:type="dxa" w:w="60"/>
              <w:left w:type="dxa" w:w="100"/>
              <w:bottom w:type="dxa" w:w="60"/>
              <w:right w:type="dxa" w:w="100"/>
            </w:tcMar>
          </w:tcPr>
          <w:p>
            <w:pPr>
              <w:spacing w:after="0"/>
            </w:pPr>
            <w:r>
              <w:t xml:space="preserve">qualification-ladder level (5–8 for undergraduate work)</w:t>
            </w:r>
          </w:p>
        </w:tc>
      </w:tr>
      <w:tr>
        <w:trPr>
          <w:tblHeader w:val="false"/>
        </w:trPr>
        <w:tc>
          <w:tcPr>
            <w:tcW w:type="dxa" w:w="3009"/>
            <w:tcMar>
              <w:top w:type="dxa" w:w="60"/>
              <w:left w:type="dxa" w:w="100"/>
              <w:bottom w:type="dxa" w:w="60"/>
              <w:right w:type="dxa" w:w="100"/>
            </w:tcMar>
          </w:tcPr>
          <w:p>
            <w:pPr>
              <w:spacing w:after="0"/>
            </w:pPr>
            <w:r>
              <w:rPr>
                <w:b/>
                <w:bCs/>
              </w:rPr>
              <w:t xml:space="preserve">Ideal student</w:t>
            </w:r>
          </w:p>
        </w:tc>
        <w:tc>
          <w:tcPr>
            <w:tcW w:type="dxa" w:w="6017"/>
            <w:tcMar>
              <w:top w:type="dxa" w:w="60"/>
              <w:left w:type="dxa" w:w="100"/>
              <w:bottom w:type="dxa" w:w="60"/>
              <w:right w:type="dxa" w:w="100"/>
            </w:tcMar>
          </w:tcPr>
          <w:p>
            <w:pPr>
              <w:spacing w:after="0"/>
            </w:pPr>
            <w:r>
              <w:t xml:space="preserve">the deterministic course selection defined in §5</w:t>
            </w:r>
          </w:p>
        </w:tc>
      </w:tr>
      <w:tr>
        <w:trPr>
          <w:tblHeader w:val="false"/>
        </w:trPr>
        <w:tc>
          <w:tcPr>
            <w:tcW w:type="dxa" w:w="3009"/>
            <w:tcMar>
              <w:top w:type="dxa" w:w="60"/>
              <w:left w:type="dxa" w:w="100"/>
              <w:bottom w:type="dxa" w:w="60"/>
              <w:right w:type="dxa" w:w="100"/>
            </w:tcMar>
          </w:tcPr>
          <w:p>
            <w:pPr>
              <w:spacing w:after="0"/>
            </w:pPr>
            <w:r>
              <w:rPr>
                <w:b/>
                <w:bCs/>
              </w:rPr>
              <w:t xml:space="preserve">Stated total</w:t>
            </w:r>
          </w:p>
        </w:tc>
        <w:tc>
          <w:tcPr>
            <w:tcW w:type="dxa" w:w="6017"/>
            <w:tcMar>
              <w:top w:type="dxa" w:w="60"/>
              <w:left w:type="dxa" w:w="100"/>
              <w:bottom w:type="dxa" w:w="60"/>
              <w:right w:type="dxa" w:w="100"/>
            </w:tcMar>
          </w:tcPr>
          <w:p>
            <w:pPr>
              <w:spacing w:after="0"/>
            </w:pPr>
            <w:r>
              <w:t xml:space="preserve">the "Total credits per year" figure printed in the handbook</w:t>
            </w:r>
          </w:p>
        </w:tc>
      </w:tr>
      <w:tr>
        <w:trPr>
          <w:tblHeader w:val="false"/>
        </w:trPr>
        <w:tc>
          <w:tcPr>
            <w:tcW w:type="dxa" w:w="3009"/>
            <w:tcMar>
              <w:top w:type="dxa" w:w="60"/>
              <w:left w:type="dxa" w:w="100"/>
              <w:bottom w:type="dxa" w:w="60"/>
              <w:right w:type="dxa" w:w="100"/>
            </w:tcMar>
          </w:tcPr>
          <w:p>
            <w:pPr>
              <w:spacing w:after="0"/>
            </w:pPr>
            <w:r>
              <w:rPr>
                <w:b/>
                <w:bCs/>
              </w:rPr>
              <w:t xml:space="preserve">Published fee</w:t>
            </w:r>
          </w:p>
        </w:tc>
        <w:tc>
          <w:tcPr>
            <w:tcW w:type="dxa" w:w="6017"/>
            <w:tcMar>
              <w:top w:type="dxa" w:w="60"/>
              <w:left w:type="dxa" w:w="100"/>
              <w:bottom w:type="dxa" w:w="60"/>
              <w:right w:type="dxa" w:w="100"/>
            </w:tcMar>
          </w:tcPr>
          <w:p>
            <w:pPr>
              <w:spacing w:after="0"/>
            </w:pPr>
            <w:r>
              <w:t xml:space="preserve">the "typical annual fee" printed in the fees book</w:t>
            </w:r>
          </w:p>
        </w:tc>
      </w:tr>
      <w:tr>
        <w:trPr>
          <w:tblHeader w:val="false"/>
        </w:trPr>
        <w:tc>
          <w:tcPr>
            <w:tcW w:type="dxa" w:w="3009"/>
            <w:tcMar>
              <w:top w:type="dxa" w:w="60"/>
              <w:left w:type="dxa" w:w="100"/>
              <w:bottom w:type="dxa" w:w="60"/>
              <w:right w:type="dxa" w:w="100"/>
            </w:tcMar>
          </w:tcPr>
          <w:p>
            <w:pPr>
              <w:spacing w:after="0"/>
            </w:pPr>
            <w:r>
              <w:rPr>
                <w:b/>
                <w:bCs/>
              </w:rPr>
              <w:t xml:space="preserve">Elective slot</w:t>
            </w:r>
          </w:p>
        </w:tc>
        <w:tc>
          <w:tcPr>
            <w:tcW w:type="dxa" w:w="6017"/>
            <w:tcMar>
              <w:top w:type="dxa" w:w="60"/>
              <w:left w:type="dxa" w:w="100"/>
              <w:bottom w:type="dxa" w:w="60"/>
              <w:right w:type="dxa" w:w="100"/>
            </w:tcMar>
          </w:tcPr>
          <w:p>
            <w:pPr>
              <w:spacing w:after="0"/>
            </w:pPr>
            <w:r>
              <w:t xml:space="preserve">a curriculum line reserving credits without naming a course</w:t>
            </w:r>
          </w:p>
        </w:tc>
      </w:tr>
      <w:tr>
        <w:trPr>
          <w:tblHeader w:val="false"/>
        </w:trPr>
        <w:tc>
          <w:tcPr>
            <w:tcW w:type="dxa" w:w="3009"/>
            <w:tcMar>
              <w:top w:type="dxa" w:w="60"/>
              <w:left w:type="dxa" w:w="100"/>
              <w:bottom w:type="dxa" w:w="60"/>
              <w:right w:type="dxa" w:w="100"/>
            </w:tcMar>
          </w:tcPr>
          <w:p>
            <w:pPr>
              <w:spacing w:after="0"/>
            </w:pPr>
            <w:r>
              <w:rPr>
                <w:b/>
                <w:bCs/>
              </w:rPr>
              <w:t xml:space="preserve">Provenance</w:t>
            </w:r>
          </w:p>
        </w:tc>
        <w:tc>
          <w:tcPr>
            <w:tcW w:type="dxa" w:w="6017"/>
            <w:tcMar>
              <w:top w:type="dxa" w:w="60"/>
              <w:left w:type="dxa" w:w="100"/>
              <w:bottom w:type="dxa" w:w="60"/>
              <w:right w:type="dxa" w:w="100"/>
            </w:tcMar>
          </w:tcPr>
          <w:p>
            <w:pPr>
              <w:spacing w:after="0"/>
            </w:pPr>
            <w:r>
              <w:t xml:space="preserve">the </w:t>
            </w:r>
            <w:r>
              <w:rPr>
                <w:rFonts w:ascii="Consolas" w:cs="Consolas" w:eastAsia="Consolas" w:hAnsi="Consolas"/>
                <w:sz w:val="18"/>
                <w:szCs w:val="18"/>
              </w:rPr>
              <w:t xml:space="preserve">year</w:t>
            </w:r>
            <w:r>
              <w:t xml:space="preserve"> + </w:t>
            </w:r>
            <w:r>
              <w:rPr>
                <w:rFonts w:ascii="Consolas" w:cs="Consolas" w:eastAsia="Consolas" w:hAnsi="Consolas"/>
                <w:sz w:val="18"/>
                <w:szCs w:val="18"/>
              </w:rPr>
              <w:t xml:space="preserve">source_page</w:t>
            </w:r>
            <w:r>
              <w:t xml:space="preserve"> columns tracing a row to its PDF page</w:t>
            </w:r>
          </w:p>
        </w:tc>
      </w:tr>
      <w:tr>
        <w:trPr>
          <w:tblHeader w:val="false"/>
        </w:trPr>
        <w:tc>
          <w:tcPr>
            <w:tcW w:type="dxa" w:w="3009"/>
            <w:tcMar>
              <w:top w:type="dxa" w:w="60"/>
              <w:left w:type="dxa" w:w="100"/>
              <w:bottom w:type="dxa" w:w="60"/>
              <w:right w:type="dxa" w:w="100"/>
            </w:tcMar>
          </w:tcPr>
          <w:p>
            <w:pPr>
              <w:spacing w:after="0"/>
            </w:pPr>
            <w:r>
              <w:rPr>
                <w:b/>
                <w:bCs/>
              </w:rPr>
              <w:t xml:space="preserve">Overrides</w:t>
            </w:r>
          </w:p>
        </w:tc>
        <w:tc>
          <w:tcPr>
            <w:tcW w:type="dxa" w:w="6017"/>
            <w:tcMar>
              <w:top w:type="dxa" w:w="60"/>
              <w:left w:type="dxa" w:w="100"/>
              <w:bottom w:type="dxa" w:w="60"/>
              <w:right w:type="dxa" w:w="100"/>
            </w:tcMar>
          </w:tcPr>
          <w:p>
            <w:pPr>
              <w:spacing w:after="0"/>
            </w:pPr>
            <w:r>
              <w:t xml:space="preserve">documented, reviewable corrections applied at build time</w:t>
            </w:r>
          </w:p>
        </w:tc>
      </w:tr>
    </w:tbl>
    <w:p>
      <w:pPr>
        <w:spacing w:after="120"/>
      </w:pPr>
    </w:p>
    <w:p>
      <w:pPr>
        <w:pStyle w:val="Heading1"/>
        <w:spacing w:after="160" w:before="360"/>
      </w:pPr>
      <w:r>
        <w:t xml:space="preserve">12. File inventory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012"/>
        <w:gridCol w:w="5014"/>
      </w:tblGrid>
      <w:tr>
        <w:trPr>
          <w:tblHeader/>
        </w:trPr>
        <w:tc>
          <w:tcPr>
            <w:tcW w:type="dxa" w:w="4012"/>
            <w:shd w:fill="DEEAF6" w:val="clear"/>
            <w:tcMar>
              <w:top w:type="dxa" w:w="60"/>
              <w:left w:type="dxa" w:w="100"/>
              <w:bottom w:type="dxa" w:w="60"/>
              <w:right w:type="dxa" w:w="100"/>
            </w:tcMar>
          </w:tcPr>
          <w:p>
            <w:pPr>
              <w:spacing w:after="0"/>
            </w:pPr>
            <w:r>
              <w:rPr>
                <w:b/>
                <w:bCs/>
              </w:rPr>
              <w:t xml:space="preserve">Location</w:t>
            </w:r>
          </w:p>
        </w:tc>
        <w:tc>
          <w:tcPr>
            <w:tcW w:type="dxa" w:w="5014"/>
            <w:shd w:fill="DEEAF6" w:val="clear"/>
            <w:tcMar>
              <w:top w:type="dxa" w:w="60"/>
              <w:left w:type="dxa" w:w="100"/>
              <w:bottom w:type="dxa" w:w="60"/>
              <w:right w:type="dxa" w:w="100"/>
            </w:tcMar>
          </w:tcPr>
          <w:p>
            <w:pPr>
              <w:spacing w:after="0"/>
            </w:pPr>
            <w:r>
              <w:rPr>
                <w:b/>
                <w:bCs/>
              </w:rPr>
              <w:t xml:space="preserve">Contents</w:t>
            </w:r>
          </w:p>
        </w:tc>
      </w:tr>
      <w:tr>
        <w:trPr>
          <w:tblHeader w:val="false"/>
        </w:trPr>
        <w:tc>
          <w:tcPr>
            <w:tcW w:type="dxa" w:w="4012"/>
            <w:tcMar>
              <w:top w:type="dxa" w:w="60"/>
              <w:left w:type="dxa" w:w="100"/>
              <w:bottom w:type="dxa" w:w="60"/>
              <w:right w:type="dxa" w:w="100"/>
            </w:tcMar>
          </w:tcPr>
          <w:p>
            <w:pPr>
              <w:spacing w:after="0"/>
            </w:pPr>
            <w:r>
              <w:rPr>
                <w:rFonts w:ascii="Consolas" w:cs="Consolas" w:eastAsia="Consolas" w:hAnsi="Consolas"/>
                <w:sz w:val="18"/>
                <w:szCs w:val="18"/>
              </w:rPr>
              <w:t xml:space="preserve">faculty-handbooks-undergraduate/</w:t>
            </w:r>
          </w:p>
        </w:tc>
        <w:tc>
          <w:tcPr>
            <w:tcW w:type="dxa" w:w="5014"/>
            <w:tcMar>
              <w:top w:type="dxa" w:w="60"/>
              <w:left w:type="dxa" w:w="100"/>
              <w:bottom w:type="dxa" w:w="60"/>
              <w:right w:type="dxa" w:w="100"/>
            </w:tcMar>
          </w:tcPr>
          <w:p>
            <w:pPr>
              <w:spacing w:after="0"/>
            </w:pPr>
            <w:r>
              <w:t xml:space="preserve">source PDFs, read-only</w:t>
            </w:r>
          </w:p>
        </w:tc>
      </w:tr>
      <w:tr>
        <w:trPr>
          <w:tblHeader w:val="false"/>
        </w:trPr>
        <w:tc>
          <w:tcPr>
            <w:tcW w:type="dxa" w:w="4012"/>
            <w:tcMar>
              <w:top w:type="dxa" w:w="60"/>
              <w:left w:type="dxa" w:w="100"/>
              <w:bottom w:type="dxa" w:w="60"/>
              <w:right w:type="dxa" w:w="100"/>
            </w:tcMar>
          </w:tcPr>
          <w:p>
            <w:pPr>
              <w:spacing w:after="0"/>
            </w:pPr>
            <w:r>
              <w:rPr>
                <w:rFonts w:ascii="Consolas" w:cs="Consolas" w:eastAsia="Consolas" w:hAnsi="Consolas"/>
                <w:sz w:val="18"/>
                <w:szCs w:val="18"/>
              </w:rPr>
              <w:t xml:space="preserve">data/processed/main_dataset_final.csv</w:t>
            </w:r>
          </w:p>
        </w:tc>
        <w:tc>
          <w:tcPr>
            <w:tcW w:type="dxa" w:w="5014"/>
            <w:tcMar>
              <w:top w:type="dxa" w:w="60"/>
              <w:left w:type="dxa" w:w="100"/>
              <w:bottom w:type="dxa" w:w="60"/>
              <w:right w:type="dxa" w:w="100"/>
            </w:tcMar>
          </w:tcPr>
          <w:p>
            <w:pPr>
              <w:spacing w:after="0"/>
            </w:pPr>
            <w:r>
              <w:rPr>
                <w:b/>
                <w:bCs/>
              </w:rPr>
              <w:t xml:space="preserve">the final-clean dataset — use this for analysis</w:t>
            </w:r>
            <w:r>
              <w:t xml:space="preserve"> (§6.4)</w:t>
            </w:r>
          </w:p>
        </w:tc>
      </w:tr>
      <w:tr>
        <w:trPr>
          <w:tblHeader w:val="false"/>
        </w:trPr>
        <w:tc>
          <w:tcPr>
            <w:tcW w:type="dxa" w:w="4012"/>
            <w:tcMar>
              <w:top w:type="dxa" w:w="60"/>
              <w:left w:type="dxa" w:w="100"/>
              <w:bottom w:type="dxa" w:w="60"/>
              <w:right w:type="dxa" w:w="100"/>
            </w:tcMar>
          </w:tcPr>
          <w:p>
            <w:pPr>
              <w:spacing w:after="0"/>
            </w:pPr>
            <w:r>
              <w:rPr>
                <w:rFonts w:ascii="Consolas" w:cs="Consolas" w:eastAsia="Consolas" w:hAnsi="Consolas"/>
                <w:sz w:val="18"/>
                <w:szCs w:val="18"/>
              </w:rPr>
              <w:t xml:space="preserve">data/processed/ideal_student_summary_final.csv</w:t>
            </w:r>
          </w:p>
        </w:tc>
        <w:tc>
          <w:tcPr>
            <w:tcW w:type="dxa" w:w="5014"/>
            <w:tcMar>
              <w:top w:type="dxa" w:w="60"/>
              <w:left w:type="dxa" w:w="100"/>
              <w:bottom w:type="dxa" w:w="60"/>
              <w:right w:type="dxa" w:w="100"/>
            </w:tcMar>
          </w:tcPr>
          <w:p>
            <w:pPr>
              <w:spacing w:after="0"/>
            </w:pPr>
            <w:r>
              <w:t xml:space="preserve">final per specialisation-year roll-up (§6.5)</w:t>
            </w:r>
          </w:p>
        </w:tc>
      </w:tr>
      <w:tr>
        <w:trPr>
          <w:tblHeader w:val="false"/>
        </w:trPr>
        <w:tc>
          <w:tcPr>
            <w:tcW w:type="dxa" w:w="4012"/>
            <w:tcMar>
              <w:top w:type="dxa" w:w="60"/>
              <w:left w:type="dxa" w:w="100"/>
              <w:bottom w:type="dxa" w:w="60"/>
              <w:right w:type="dxa" w:w="100"/>
            </w:tcMar>
          </w:tcPr>
          <w:p>
            <w:pPr>
              <w:spacing w:after="0"/>
            </w:pPr>
            <w:r>
              <w:rPr>
                <w:rFonts w:ascii="Consolas" w:cs="Consolas" w:eastAsia="Consolas" w:hAnsi="Consolas"/>
                <w:sz w:val="18"/>
                <w:szCs w:val="18"/>
              </w:rPr>
              <w:t xml:space="preserve">data/processed/main_dataset.csv</w:t>
            </w:r>
          </w:p>
        </w:tc>
        <w:tc>
          <w:tcPr>
            <w:tcW w:type="dxa" w:w="5014"/>
            <w:tcMar>
              <w:top w:type="dxa" w:w="60"/>
              <w:left w:type="dxa" w:w="100"/>
              <w:bottom w:type="dxa" w:w="60"/>
              <w:right w:type="dxa" w:w="100"/>
            </w:tcMar>
          </w:tcPr>
          <w:p>
            <w:pPr>
              <w:spacing w:after="0"/>
            </w:pPr>
            <w:r>
              <w:t xml:space="preserve">as-printed dataset (§6.1) — audit/replication</w:t>
            </w:r>
          </w:p>
        </w:tc>
      </w:tr>
      <w:tr>
        <w:trPr>
          <w:tblHeader w:val="false"/>
        </w:trPr>
        <w:tc>
          <w:tcPr>
            <w:tcW w:type="dxa" w:w="4012"/>
            <w:tcMar>
              <w:top w:type="dxa" w:w="60"/>
              <w:left w:type="dxa" w:w="100"/>
              <w:bottom w:type="dxa" w:w="60"/>
              <w:right w:type="dxa" w:w="100"/>
            </w:tcMar>
          </w:tcPr>
          <w:p>
            <w:pPr>
              <w:spacing w:after="0"/>
            </w:pPr>
            <w:r>
              <w:rPr>
                <w:rFonts w:ascii="Consolas" w:cs="Consolas" w:eastAsia="Consolas" w:hAnsi="Consolas"/>
                <w:sz w:val="18"/>
                <w:szCs w:val="18"/>
              </w:rPr>
              <w:t xml:space="preserve">data/processed/ideal_student_summary.csv</w:t>
            </w:r>
          </w:p>
        </w:tc>
        <w:tc>
          <w:tcPr>
            <w:tcW w:type="dxa" w:w="5014"/>
            <w:tcMar>
              <w:top w:type="dxa" w:w="60"/>
              <w:left w:type="dxa" w:w="100"/>
              <w:bottom w:type="dxa" w:w="60"/>
              <w:right w:type="dxa" w:w="100"/>
            </w:tcMar>
          </w:tcPr>
          <w:p>
            <w:pPr>
              <w:spacing w:after="0"/>
            </w:pPr>
            <w:r>
              <w:t xml:space="preserve">as-printed roll-up (§6.2)</w:t>
            </w:r>
          </w:p>
        </w:tc>
      </w:tr>
      <w:tr>
        <w:trPr>
          <w:tblHeader w:val="false"/>
        </w:trPr>
        <w:tc>
          <w:tcPr>
            <w:tcW w:type="dxa" w:w="4012"/>
            <w:tcMar>
              <w:top w:type="dxa" w:w="60"/>
              <w:left w:type="dxa" w:w="100"/>
              <w:bottom w:type="dxa" w:w="60"/>
              <w:right w:type="dxa" w:w="100"/>
            </w:tcMar>
          </w:tcPr>
          <w:p>
            <w:pPr>
              <w:spacing w:after="0"/>
            </w:pPr>
            <w:r>
              <w:rPr>
                <w:rFonts w:ascii="Consolas" w:cs="Consolas" w:eastAsia="Consolas" w:hAnsi="Consolas"/>
                <w:sz w:val="18"/>
                <w:szCs w:val="18"/>
              </w:rPr>
              <w:t xml:space="preserve">data/processed/degree_rules.csv</w:t>
            </w:r>
          </w:p>
        </w:tc>
        <w:tc>
          <w:tcPr>
            <w:tcW w:type="dxa" w:w="5014"/>
            <w:tcMar>
              <w:top w:type="dxa" w:w="60"/>
              <w:left w:type="dxa" w:w="100"/>
              <w:bottom w:type="dxa" w:w="60"/>
              <w:right w:type="dxa" w:w="100"/>
            </w:tcMar>
          </w:tcPr>
          <w:p>
            <w:pPr>
              <w:spacing w:after="0"/>
            </w:pPr>
            <w:r>
              <w:t xml:space="preserve">the rules layer: printed degree minimums, durations, stream totals (§6.3)</w:t>
            </w:r>
          </w:p>
        </w:tc>
      </w:tr>
      <w:tr>
        <w:trPr>
          <w:tblHeader w:val="false"/>
        </w:trPr>
        <w:tc>
          <w:tcPr>
            <w:tcW w:type="dxa" w:w="4012"/>
            <w:tcMar>
              <w:top w:type="dxa" w:w="60"/>
              <w:left w:type="dxa" w:w="100"/>
              <w:bottom w:type="dxa" w:w="60"/>
              <w:right w:type="dxa" w:w="100"/>
            </w:tcMar>
          </w:tcPr>
          <w:p>
            <w:pPr>
              <w:spacing w:after="0"/>
            </w:pPr>
            <w:r>
              <w:rPr>
                <w:rFonts w:ascii="Consolas" w:cs="Consolas" w:eastAsia="Consolas" w:hAnsi="Consolas"/>
                <w:sz w:val="18"/>
                <w:szCs w:val="18"/>
              </w:rPr>
              <w:t xml:space="preserve">validation/degree_check_&lt;year&gt;.csv</w:t>
            </w:r>
          </w:p>
        </w:tc>
        <w:tc>
          <w:tcPr>
            <w:tcW w:type="dxa" w:w="5014"/>
            <w:tcMar>
              <w:top w:type="dxa" w:w="60"/>
              <w:left w:type="dxa" w:w="100"/>
              <w:bottom w:type="dxa" w:w="60"/>
              <w:right w:type="dxa" w:w="100"/>
            </w:tcMar>
          </w:tcPr>
          <w:p>
            <w:pPr>
              <w:spacing w:after="0"/>
            </w:pPr>
            <w:r>
              <w:t xml:space="preserve">whole-degree reconciliation against the rules layer (§7)</w:t>
            </w:r>
          </w:p>
        </w:tc>
      </w:tr>
      <w:tr>
        <w:trPr>
          <w:tblHeader w:val="false"/>
        </w:trPr>
        <w:tc>
          <w:tcPr>
            <w:tcW w:type="dxa" w:w="4012"/>
            <w:tcMar>
              <w:top w:type="dxa" w:w="60"/>
              <w:left w:type="dxa" w:w="100"/>
              <w:bottom w:type="dxa" w:w="60"/>
              <w:right w:type="dxa" w:w="100"/>
            </w:tcMar>
          </w:tcPr>
          <w:p>
            <w:pPr>
              <w:spacing w:after="0"/>
            </w:pPr>
            <w:r>
              <w:rPr>
                <w:rFonts w:ascii="Consolas" w:cs="Consolas" w:eastAsia="Consolas" w:hAnsi="Consolas"/>
                <w:sz w:val="18"/>
                <w:szCs w:val="18"/>
              </w:rPr>
              <w:t xml:space="preserve">data/processed/*.csv</w:t>
            </w:r>
          </w:p>
        </w:tc>
        <w:tc>
          <w:tcPr>
            <w:tcW w:type="dxa" w:w="5014"/>
            <w:tcMar>
              <w:top w:type="dxa" w:w="60"/>
              <w:left w:type="dxa" w:w="100"/>
              <w:bottom w:type="dxa" w:w="60"/>
              <w:right w:type="dxa" w:w="100"/>
            </w:tcMar>
          </w:tcPr>
          <w:p>
            <w:pPr>
              <w:spacing w:after="0"/>
            </w:pPr>
            <w:r>
              <w:t xml:space="preserve">supporting tables (§6.3)</w:t>
            </w:r>
          </w:p>
        </w:tc>
      </w:tr>
      <w:tr>
        <w:trPr>
          <w:tblHeader w:val="false"/>
        </w:trPr>
        <w:tc>
          <w:tcPr>
            <w:tcW w:type="dxa" w:w="4012"/>
            <w:tcMar>
              <w:top w:type="dxa" w:w="60"/>
              <w:left w:type="dxa" w:w="100"/>
              <w:bottom w:type="dxa" w:w="60"/>
              <w:right w:type="dxa" w:w="100"/>
            </w:tcMar>
          </w:tcPr>
          <w:p>
            <w:pPr>
              <w:spacing w:after="0"/>
            </w:pPr>
            <w:r>
              <w:rPr>
                <w:rFonts w:ascii="Consolas" w:cs="Consolas" w:eastAsia="Consolas" w:hAnsi="Consolas"/>
                <w:sz w:val="18"/>
                <w:szCs w:val="18"/>
              </w:rPr>
              <w:t xml:space="preserve">resolutions/&lt;faculty&gt;.csv</w:t>
            </w:r>
          </w:p>
        </w:tc>
        <w:tc>
          <w:tcPr>
            <w:tcW w:type="dxa" w:w="5014"/>
            <w:tcMar>
              <w:top w:type="dxa" w:w="60"/>
              <w:left w:type="dxa" w:w="100"/>
              <w:bottom w:type="dxa" w:w="60"/>
              <w:right w:type="dxa" w:w="100"/>
            </w:tcMar>
          </w:tcPr>
          <w:p>
            <w:pPr>
              <w:spacing w:after="0"/>
            </w:pPr>
            <w:r>
              <w:t xml:space="preserve">per-faculty adjudication registers with rationales (§10)</w:t>
            </w:r>
          </w:p>
        </w:tc>
      </w:tr>
      <w:tr>
        <w:trPr>
          <w:tblHeader w:val="false"/>
        </w:trPr>
        <w:tc>
          <w:tcPr>
            <w:tcW w:type="dxa" w:w="4012"/>
            <w:tcMar>
              <w:top w:type="dxa" w:w="60"/>
              <w:left w:type="dxa" w:w="100"/>
              <w:bottom w:type="dxa" w:w="60"/>
              <w:right w:type="dxa" w:w="100"/>
            </w:tcMar>
          </w:tcPr>
          <w:p>
            <w:pPr>
              <w:spacing w:after="0"/>
            </w:pPr>
            <w:r>
              <w:rPr>
                <w:rFonts w:ascii="Consolas" w:cs="Consolas" w:eastAsia="Consolas" w:hAnsi="Consolas"/>
                <w:sz w:val="18"/>
                <w:szCs w:val="18"/>
              </w:rPr>
              <w:t xml:space="preserve">validation/*.csv</w:t>
            </w:r>
          </w:p>
        </w:tc>
        <w:tc>
          <w:tcPr>
            <w:tcW w:type="dxa" w:w="5014"/>
            <w:tcMar>
              <w:top w:type="dxa" w:w="60"/>
              <w:left w:type="dxa" w:w="100"/>
              <w:bottom w:type="dxa" w:w="60"/>
              <w:right w:type="dxa" w:w="100"/>
            </w:tcMar>
          </w:tcPr>
          <w:p>
            <w:pPr>
              <w:spacing w:after="0"/>
            </w:pPr>
            <w:r>
              <w:t xml:space="preserve">exception reports, resolution logs, pending adjudications (§7)</w:t>
            </w:r>
          </w:p>
        </w:tc>
      </w:tr>
      <w:tr>
        <w:trPr>
          <w:tblHeader w:val="false"/>
        </w:trPr>
        <w:tc>
          <w:tcPr>
            <w:tcW w:type="dxa" w:w="4012"/>
            <w:tcMar>
              <w:top w:type="dxa" w:w="60"/>
              <w:left w:type="dxa" w:w="100"/>
              <w:bottom w:type="dxa" w:w="60"/>
              <w:right w:type="dxa" w:w="100"/>
            </w:tcMar>
          </w:tcPr>
          <w:p>
            <w:pPr>
              <w:spacing w:after="0"/>
            </w:pPr>
            <w:r>
              <w:rPr>
                <w:rFonts w:ascii="Consolas" w:cs="Consolas" w:eastAsia="Consolas" w:hAnsi="Consolas"/>
                <w:sz w:val="18"/>
                <w:szCs w:val="18"/>
              </w:rPr>
              <w:t xml:space="preserve">docs/FINAL-DATASET-METHOD.md</w:t>
            </w:r>
          </w:p>
        </w:tc>
        <w:tc>
          <w:tcPr>
            <w:tcW w:type="dxa" w:w="5014"/>
            <w:tcMar>
              <w:top w:type="dxa" w:w="60"/>
              <w:left w:type="dxa" w:w="100"/>
              <w:bottom w:type="dxa" w:w="60"/>
              <w:right w:type="dxa" w:w="100"/>
            </w:tcMar>
          </w:tcPr>
          <w:p>
            <w:pPr>
              <w:spacing w:after="0"/>
            </w:pPr>
            <w:r>
              <w:t xml:space="preserve">how the final layer resolves discrepancies</w:t>
            </w:r>
          </w:p>
        </w:tc>
      </w:tr>
      <w:tr>
        <w:trPr>
          <w:tblHeader w:val="false"/>
        </w:trPr>
        <w:tc>
          <w:tcPr>
            <w:tcW w:type="dxa" w:w="4012"/>
            <w:tcMar>
              <w:top w:type="dxa" w:w="60"/>
              <w:left w:type="dxa" w:w="100"/>
              <w:bottom w:type="dxa" w:w="60"/>
              <w:right w:type="dxa" w:w="100"/>
            </w:tcMar>
          </w:tcPr>
          <w:p>
            <w:pPr>
              <w:spacing w:after="0"/>
            </w:pPr>
            <w:r>
              <w:rPr>
                <w:rFonts w:ascii="Consolas" w:cs="Consolas" w:eastAsia="Consolas" w:hAnsi="Consolas"/>
                <w:sz w:val="18"/>
                <w:szCs w:val="18"/>
              </w:rPr>
              <w:t xml:space="preserve">docs/REPLICATION.md</w:t>
            </w:r>
          </w:p>
        </w:tc>
        <w:tc>
          <w:tcPr>
            <w:tcW w:type="dxa" w:w="5014"/>
            <w:tcMar>
              <w:top w:type="dxa" w:w="60"/>
              <w:left w:type="dxa" w:w="100"/>
              <w:bottom w:type="dxa" w:w="60"/>
              <w:right w:type="dxa" w:w="100"/>
            </w:tcMar>
          </w:tcPr>
          <w:p>
            <w:pPr>
              <w:spacing w:after="0"/>
            </w:pPr>
            <w:r>
              <w:t xml:space="preserve">technical process log and hazard catalogue</w:t>
            </w:r>
          </w:p>
        </w:tc>
      </w:tr>
      <w:tr>
        <w:trPr>
          <w:tblHeader w:val="false"/>
        </w:trPr>
        <w:tc>
          <w:tcPr>
            <w:tcW w:type="dxa" w:w="4012"/>
            <w:tcMar>
              <w:top w:type="dxa" w:w="60"/>
              <w:left w:type="dxa" w:w="100"/>
              <w:bottom w:type="dxa" w:w="60"/>
              <w:right w:type="dxa" w:w="100"/>
            </w:tcMar>
          </w:tcPr>
          <w:p>
            <w:pPr>
              <w:spacing w:after="0"/>
            </w:pPr>
            <w:r>
              <w:rPr>
                <w:rFonts w:ascii="Consolas" w:cs="Consolas" w:eastAsia="Consolas" w:hAnsi="Consolas"/>
                <w:sz w:val="18"/>
                <w:szCs w:val="18"/>
              </w:rPr>
              <w:t xml:space="preserve">docs/commerce-review-and-proposal.md</w:t>
            </w:r>
          </w:p>
        </w:tc>
        <w:tc>
          <w:tcPr>
            <w:tcW w:type="dxa" w:w="5014"/>
            <w:tcMar>
              <w:top w:type="dxa" w:w="60"/>
              <w:left w:type="dxa" w:w="100"/>
              <w:bottom w:type="dxa" w:w="60"/>
              <w:right w:type="dxa" w:w="100"/>
            </w:tcMar>
          </w:tcPr>
          <w:p>
            <w:pPr>
              <w:spacing w:after="0"/>
            </w:pPr>
            <w:r>
              <w:t xml:space="preserve">original design document</w:t>
            </w:r>
          </w:p>
        </w:tc>
      </w:tr>
    </w:tbl>
    <w:p>
      <w:pPr>
        <w:spacing w:after="12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abstractNum w:abstractNumId="3" w15:restartNumberingAfterBreak="0">
    <w:multiLevelType w:val="hybridMultilevel"/>
    <w:lvl w:ilvl="0" w15:tentative="1">
      <w:start w:val="1"/>
      <w:numFmt w:val="decimal"/>
      <w:lvlText w:val="%1."/>
      <w:lvlJc w:val="left"/>
      <w:pPr>
        <w:ind w:left="560" w:hanging="28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pPr>
        <w:spacing w:line="264"/>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b/>
      <w:bCs/>
      <w:color w:val="2E74B5"/>
      <w:sz w:val="30"/>
      <w:szCs w:val="30"/>
    </w:rPr>
  </w:style>
  <w:style w:type="paragraph" w:styleId="Heading2">
    <w:name w:val="Heading 2"/>
    <w:basedOn w:val="Normal"/>
    <w:next w:val="Normal"/>
    <w:qFormat/>
    <w:rPr>
      <w:b/>
      <w:bCs/>
      <w:color w:val="2E74B5"/>
      <w:sz w:val="25"/>
      <w:szCs w:val="25"/>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UCT Handbook Dataset — User Manual</dc:title>
  <dc:creator>UCT Handbook Dataset Project</dc:creator>
  <cp:lastModifiedBy>Un-named</cp:lastModifiedBy>
  <cp:revision>1</cp:revision>
  <dcterms:created xsi:type="dcterms:W3CDTF">2026-08-06T20:37:42.610Z</dcterms:created>
  <dcterms:modified xsi:type="dcterms:W3CDTF">2026-08-06T20:37:42.611Z</dcterms:modified>
</cp:coreProperties>
</file>

<file path=docProps/custom.xml><?xml version="1.0" encoding="utf-8"?>
<Properties xmlns="http://schemas.openxmlformats.org/officeDocument/2006/custom-properties" xmlns:vt="http://schemas.openxmlformats.org/officeDocument/2006/docPropsVTypes"/>
</file>